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C9 · COMMUNICATION &amp; TRAINING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Communication, Awareness &amp; Training Plan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The communication matrix, motivation strategy and capacity-building programme GP46 para. 7.7–7.9 expect the Committee to run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An EnMS the workforce has never heard of is a filing exercise. GP46 makes the soft side mandatory: a communication plan with defined platforms, frequency, audiences, content and feedback channels; a motivation strategy; and awareness and capacity-building programmes reaching staff, top management and stakeholders. This plan gives the Committee the working instruments.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INV-ENMS-C9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Communication matrix (GP46 para. 7.8)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Define each recurring communication as a row. The matrix below is pre-seeded with a workable baseline — adapt, add, and have the Committee adopt it.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750"/>
        <w:gridCol w:w="2246"/>
        <w:gridCol w:w="1300"/>
        <w:gridCol w:w="1650"/>
        <w:gridCol w:w="1300"/>
        <w:gridCol w:w="1500"/>
      </w:tblGrid>
      <w:tr>
        <w:trPr>
          <w:cantSplit/>
          <w:tblHeader/>
        </w:trPr>
        <w:tc>
          <w:tcPr>
            <w:tcW w:type="dxa" w:w="17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Communication</w:t>
            </w:r>
          </w:p>
        </w:tc>
        <w:tc>
          <w:tcPr>
            <w:tcW w:type="dxa" w:w="22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Objective</w:t>
            </w:r>
          </w:p>
        </w:tc>
        <w:tc>
          <w:tcPr>
            <w:tcW w:type="dxa" w:w="1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Audience</w:t>
            </w:r>
          </w:p>
        </w:tc>
        <w:tc>
          <w:tcPr>
            <w:tcW w:type="dxa" w:w="16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Channel</w:t>
            </w:r>
          </w:p>
        </w:tc>
        <w:tc>
          <w:tcPr>
            <w:tcW w:type="dxa" w:w="1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Frequency</w:t>
            </w:r>
          </w:p>
        </w:tc>
        <w:tc>
          <w:tcPr>
            <w:tcW w:type="dxa" w:w="15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Owner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Energy policy display and induction briefing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Every employee knows the policy and their role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All staff; new joiners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Notice boards, induction pack, intranet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Continuous; each intake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HR + REM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Monthly energy performance snapshot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Consumption and EnPI vs baseline and target, visible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All staff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Notice board / e-mail / dashboard screen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Monthly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REM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Committee meeting outcomes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Decisions and actions communicated to departments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Department heads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Minutes extract by e-mail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After each meeting (≥4/yr)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Management representative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Top management briefing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Progress, results and resource needs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Top management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Report + management review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Regular; review ≥1/yr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Management representative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ESM campaign communications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Behaviour measures adopted (set-points, switch-off, reporting waste)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Affected departments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Toolbox talks, posters, chat groups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Per campaign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Committee members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Feedback channel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Staff input and energy-waste reporting reaches the Committee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All staff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Form / QR / e-mail to REM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Continuous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REM</w:t>
            </w:r>
          </w:p>
        </w:tc>
      </w:tr>
      <w:tr>
        <w:trPr>
          <w:cantSplit/>
        </w:trPr>
        <w:tc>
          <w:tcPr>
            <w:tcW w:type="dxa" w:w="17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External / stakeholder note</w:t>
            </w:r>
          </w:p>
        </w:tc>
        <w:tc>
          <w:tcPr>
            <w:tcW w:type="dxa" w:w="22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Tenants, contractors and key suppliers know the applicable rules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Tenants, contractors</w:t>
            </w:r>
          </w:p>
        </w:tc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Circulars, contract clauses</w:t>
            </w:r>
          </w:p>
        </w:tc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Annually and on change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Admin / procurement</w:t>
            </w:r>
          </w:p>
        </w:tc>
      </w:tr>
    </w:tbl>
    <w:p>
      <w:pPr>
        <w:spacing w:after="160"/>
        <w:jc w:val="left"/>
      </w:pPr>
      <w:r>
        <w:rPr>
          <w:rFonts w:ascii="Inter" w:cs="Inter" w:eastAsia="Inter" w:hAnsi="Inter"/>
          <w:i/>
          <w:iCs/>
          <w:color w:val="6B7280"/>
          <w:sz w:val="18"/>
          <w:szCs w:val="18"/>
        </w:rPr>
        <w:t xml:space="preserve">Structure per GP46 para. 7.8(a)–(e): platforms, timing and frequency, target audiences, information to be delivered, and a feedback platform.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Motivation strategy (GP46 para. 7.7)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Pick the mechanisms that fit your culture — GP46 lists the menu; commit to at least two and put them in the budget: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610"/>
        <w:gridCol w:w="7136"/>
      </w:tblGrid>
      <w:tr>
        <w:trPr>
          <w:cantSplit/>
          <w:tblHeader/>
        </w:trPr>
        <w:tc>
          <w:tcPr>
            <w:tcW w:type="dxa" w:w="261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Mechanism</w:t>
            </w:r>
          </w:p>
        </w:tc>
        <w:tc>
          <w:tcPr>
            <w:tcW w:type="dxa" w:w="713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Example implementation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Internal competition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Monthly league of departments/buildings on EnPI vs their own baseline — published on the snapshot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External award competition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Enter a national/ASEAN energy award once the first cycle’s results are verified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Recognition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Quarterly recognition of individuals or teams behind measured savings — presented at townhall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Financial rewards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defined bonus pool share for target achievement or competition winners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Environmental and social responsibility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Tie savings to CO₂ figures in internal comms; link to the company’s sustainability reporting</w:t>
            </w:r>
          </w:p>
        </w:tc>
      </w:tr>
      <w:tr>
        <w:trPr>
          <w:cantSplit/>
        </w:trPr>
        <w:tc>
          <w:tcPr>
            <w:tcW w:type="dxa" w:w="261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Performance standard</w:t>
            </w:r>
          </w:p>
        </w:tc>
        <w:tc>
          <w:tcPr>
            <w:tcW w:type="dxa" w:w="713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responsibilities written into role KPIs for SEU owners and Committee members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Awareness and capacity building (GP46 para. 7.9)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837"/>
        <w:gridCol w:w="1837"/>
        <w:gridCol w:w="3480"/>
        <w:gridCol w:w="1450"/>
        <w:gridCol w:w="1142"/>
      </w:tblGrid>
      <w:tr>
        <w:trPr>
          <w:cantSplit/>
          <w:tblHeader/>
        </w:trPr>
        <w:tc>
          <w:tcPr>
            <w:tcW w:type="dxa" w:w="183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Programme</w:t>
            </w:r>
          </w:p>
        </w:tc>
        <w:tc>
          <w:tcPr>
            <w:tcW w:type="dxa" w:w="183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Audience</w:t>
            </w:r>
          </w:p>
        </w:tc>
        <w:tc>
          <w:tcPr>
            <w:tcW w:type="dxa" w:w="34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Content</w:t>
            </w:r>
          </w:p>
        </w:tc>
        <w:tc>
          <w:tcPr>
            <w:tcW w:type="dxa" w:w="14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When</w:t>
            </w:r>
          </w:p>
        </w:tc>
        <w:tc>
          <w:tcPr>
            <w:tcW w:type="dxa" w:w="1142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Evidence kept</w:t>
            </w:r>
          </w:p>
        </w:tc>
      </w:tr>
      <w:tr>
        <w:trPr>
          <w:cantSplit/>
        </w:trPr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General awareness</w:t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All staff</w:t>
            </w:r>
          </w:p>
        </w:tc>
        <w:tc>
          <w:tcPr>
            <w:tcW w:type="dxa" w:w="34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Orientation module, poster campaign, energy day / exhibitions, e-mail and website features</w:t>
            </w:r>
          </w:p>
        </w:tc>
        <w:tc>
          <w:tcPr>
            <w:tcW w:type="dxa" w:w="1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Ongoing; ≥1 campaign/yr</w:t>
            </w:r>
          </w:p>
        </w:tc>
        <w:tc>
          <w:tcPr>
            <w:tcW w:type="dxa" w:w="1142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Materials, attendance, photos</w:t>
            </w:r>
          </w:p>
        </w:tc>
      </w:tr>
      <w:tr>
        <w:trPr>
          <w:cantSplit/>
        </w:trPr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Energy use performance awareness</w:t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SEU owners, operators</w:t>
            </w:r>
          </w:p>
        </w:tc>
        <w:tc>
          <w:tcPr>
            <w:tcW w:type="dxa" w:w="34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Energy statistics, specific energy use per equipment/department, scorecards</w:t>
            </w:r>
          </w:p>
        </w:tc>
        <w:tc>
          <w:tcPr>
            <w:tcW w:type="dxa" w:w="1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Monthly with the snapshot</w:t>
            </w:r>
          </w:p>
        </w:tc>
        <w:tc>
          <w:tcPr>
            <w:tcW w:type="dxa" w:w="1142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Scorecards issued</w:t>
            </w:r>
          </w:p>
        </w:tc>
      </w:tr>
      <w:tr>
        <w:trPr>
          <w:cantSplit/>
        </w:trPr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Top management awareness</w:t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Top management</w:t>
            </w:r>
          </w:p>
        </w:tc>
        <w:tc>
          <w:tcPr>
            <w:tcW w:type="dxa" w:w="34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Action plan status, performance vs target, employee engagement</w:t>
            </w:r>
          </w:p>
        </w:tc>
        <w:tc>
          <w:tcPr>
            <w:tcW w:type="dxa" w:w="1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Quarterly briefing + review</w:t>
            </w:r>
          </w:p>
        </w:tc>
        <w:tc>
          <w:tcPr>
            <w:tcW w:type="dxa" w:w="1142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Briefing packs, minutes</w:t>
            </w:r>
          </w:p>
        </w:tc>
      </w:tr>
      <w:tr>
        <w:trPr>
          <w:cantSplit/>
        </w:trPr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Training and capacity building</w:t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Committee, REM, operators, top management</w:t>
            </w:r>
          </w:p>
        </w:tc>
        <w:tc>
          <w:tcPr>
            <w:tcW w:type="dxa" w:w="34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EnMS roles, data and M&amp;V basics, equipment-specific operation (chiller, compressed air, boiler), regulatory updates</w:t>
            </w:r>
          </w:p>
        </w:tc>
        <w:tc>
          <w:tcPr>
            <w:tcW w:type="dxa" w:w="1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Annual training calendar</w:t>
            </w:r>
          </w:p>
        </w:tc>
        <w:tc>
          <w:tcPr>
            <w:tcW w:type="dxa" w:w="1142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6"/>
                <w:szCs w:val="16"/>
              </w:rPr>
              <w:t xml:space="preserve">Training records, competency assessment</w:t>
            </w:r>
          </w:p>
        </w:tc>
      </w:tr>
    </w:tbl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Close the loop: GP46 para. 8.2(f) requires the annual results evaluation to assess awareness, knowledge and competency of staff — keep the attendance and assessment records this plan generates; they are that evidence.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Annual calendar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643"/>
        <w:gridCol w:w="3674"/>
        <w:gridCol w:w="2803"/>
        <w:gridCol w:w="1626"/>
      </w:tblGrid>
      <w:tr>
        <w:trPr>
          <w:cantSplit/>
          <w:tblHeader/>
        </w:trPr>
        <w:tc>
          <w:tcPr>
            <w:tcW w:type="dxa" w:w="164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Month</w:t>
            </w:r>
          </w:p>
        </w:tc>
        <w:tc>
          <w:tcPr>
            <w:tcW w:type="dxa" w:w="3674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Communication / campaign</w:t>
            </w:r>
          </w:p>
        </w:tc>
        <w:tc>
          <w:tcPr>
            <w:tcW w:type="dxa" w:w="280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Training</w:t>
            </w:r>
          </w:p>
        </w:tc>
        <w:tc>
          <w:tcPr>
            <w:tcW w:type="dxa" w:w="162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Owner</w:t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1–2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3–4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5–6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7–8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9–10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 11–12</w:t>
            </w:r>
          </w:p>
        </w:tc>
        <w:tc>
          <w:tcPr>
            <w:tcW w:type="dxa" w:w="3674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28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62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746"/>
        <w:tblBorders>
          <w:top w:val="single" w:color="E5E7EB" w:sz="4"/>
          <w:left w:val="single" w:color="00BF63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8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20"/>
                <w:szCs w:val="20"/>
              </w:rPr>
              <w:t xml:space="preserve">Make the numbers do the communicating. 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A live InnoSense dashboard on the lobby screen beats a quarterly poster. Register interest at </w:t>
            </w: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eeca2024.my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C0FE1F24-24AC-4FC0-B909-7536271F5B1B}"/>
    <w:embedBold r:id="rIdFont2" w:fontKey="{F4C0E23C-7EC9-473E-99A1-B11FFE96AB69}"/>
  </w:font>
  <w:font w:name="Inter">
    <w:charset w:val="00"/>
    <w:family w:val="swiss"/>
    <w:pitch w:val="variable"/>
    <w:embedRegular r:id="rIdFont3" w:fontKey="{5C6A71F4-C9E4-4AA6-A16E-A88EFAD84871}"/>
    <w:embedBold r:id="rIdFont4" w:fontKey="{E30B84A1-421E-4FB8-B09E-016D8FBD2FEC}"/>
    <w:embedItalic r:id="rIdFont5" w:fontKey="{19A17460-0863-4C11-9578-203B3A46E34F}"/>
    <w:embedBoldItalic r:id="rIdFont6" w:fontKey="{12A5ACA0-AC26-442D-975B-0FE8C23408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INV-ENMS-C9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C9 · Communication, Awareness &amp; Training Plan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C9 · Communication, Awareness &amp; Training Plan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2026-07-29T04:16:50.160Z</dcterms:created>
  <dcterms:modified xsi:type="dcterms:W3CDTF">2026-07-29T04:16:50.161Z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