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6"/>
        <w:gridCol w:w="1700"/>
      </w:tblGrid>
      <w:tr>
        <w:trPr>
          <w:cantSplit/>
          <w:trHeight w:val="80" w:hRule="exact"/>
        </w:trPr>
        <w:tc>
          <w:tcPr>
            <w:tcW w:type="dxa" w:w="8046"/>
            <w:tcBorders>
              <w:top w:val="none"/>
              <w:left w:val="none"/>
              <w:bottom w:val="none"/>
              <w:right w:val="none"/>
            </w:tcBorders>
            <w:shd w:fill="38B0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shd w:fill="F8904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320"/>
      </w:pPr>
      <w:r>
        <w:rPr>
          <w:sz w:val="2"/>
          <w:szCs w:val="2"/>
        </w:rPr>
        <w:t xml:space="preserve"/>
      </w:r>
    </w:p>
    <w:p>
      <w:pPr>
        <w:spacing w:after="420"/>
      </w:pPr>
      <w:r>
        <w:drawing>
          <wp:inline distT="0" distB="0" distL="0" distR="0">
            <wp:extent cx="1905000" cy="485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700"/>
      </w:pPr>
      <w:r>
        <w:rPr>
          <w:rFonts w:ascii="Poppins" w:cs="Poppins" w:eastAsia="Poppins" w:hAnsi="Poppins"/>
          <w:b/>
          <w:bCs/>
          <w:color w:val="F89048"/>
          <w:spacing w:val="20"/>
          <w:sz w:val="20"/>
          <w:szCs w:val="20"/>
        </w:rPr>
        <w:t xml:space="preserve">EECA 2024 EnMS STARTER PACK</w:t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6B7280"/>
          <w:sz w:val="20"/>
          <w:szCs w:val="20"/>
        </w:rPr>
        <w:t xml:space="preserve">C8 · ACTION PLAN &amp; ESM REGISTER</w:t>
      </w:r>
    </w:p>
    <w:p>
      <w:pPr>
        <w:spacing w:after="160"/>
      </w:pPr>
      <w:r>
        <w:rPr>
          <w:rFonts w:ascii="Poppins" w:cs="Poppins" w:eastAsia="Poppins" w:hAnsi="Poppins"/>
          <w:b/>
          <w:bCs/>
          <w:color w:val="111827"/>
          <w:sz w:val="52"/>
          <w:szCs w:val="52"/>
        </w:rPr>
        <w:t xml:space="preserve">Action Plan &amp; ESM Register</w:t>
      </w:r>
    </w:p>
    <w:p>
      <w:pPr>
        <w:pBdr>
          <w:top w:val="single" w:color="38B0F8" w:sz="18" w:space="8"/>
        </w:pBdr>
        <w:spacing w:after="200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From audit findings to a costed, owned, measured programme — companion to the ESM Register (xlsx)</w:t>
      </w:r>
    </w:p>
    <w:p>
      <w:pPr>
        <w:spacing w:after="360" w:line="32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GP46 para. 6 requires an action plan built from the gap review, with technical strategies, timelines and estimated savings, financial prioritisation, and named roles and resources; para. 7 requires its implementation to be documented, non-conformance handled, and every ESM measured and verified against an M&amp;V plan. This companion explains each field of the xlsx register and sets the operating rhythm.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00"/>
        <w:gridCol w:w="900"/>
        <w:gridCol w:w="1750"/>
        <w:gridCol w:w="2300"/>
        <w:gridCol w:w="2696"/>
      </w:tblGrid>
      <w:tr>
        <w:trPr>
          <w:cantSplit/>
        </w:trPr>
        <w:tc>
          <w:tcPr>
            <w:tcW w:type="dxa" w:w="2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DOCUMENT NO.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INV-ENMS-C8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REV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1.0</w:t>
            </w:r>
          </w:p>
        </w:tc>
        <w:tc>
          <w:tcPr>
            <w:tcW w:type="dxa" w:w="175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ISSUE DATE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29 July 2026</w:t>
            </w:r>
          </w:p>
        </w:tc>
        <w:tc>
          <w:tcPr>
            <w:tcW w:type="dxa" w:w="2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PREPARED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Innovast Sdn Bhd</w:t>
            </w:r>
          </w:p>
        </w:tc>
        <w:tc>
          <w:tcPr>
            <w:tcW w:type="dxa" w:w="269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APPROVED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Anslem Lim, CEO</w:t>
            </w:r>
          </w:p>
        </w:tc>
      </w:tr>
    </w:tbl>
    <w:p>
      <w:pPr>
        <w:spacing w:after="260" w:before="80"/>
        <w:jc w:val="both"/>
      </w:pPr>
      <w:r>
        <w:rPr>
          <w:rFonts w:ascii="Inter" w:cs="Inter" w:eastAsia="Inter" w:hAnsi="Inter"/>
          <w:i/>
          <w:iCs/>
          <w:color w:val="6B7280"/>
          <w:sz w:val="16"/>
          <w:szCs w:val="16"/>
        </w:rPr>
        <w:t xml:space="preserve">Rev 1.0 · issued 29 July 2026 · regulatory sources last verified 18 July 2026.</w:t>
      </w:r>
    </w:p>
    <w:tbl>
      <w:tblPr>
        <w:tblW w:type="dxa" w:w="9746"/>
        <w:tblBorders>
          <w:top w:val="single" w:color="E5E7EB" w:sz="4"/>
          <w:left w:val="single" w:color="F8904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6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DRAFT FOR ADAPTATION</w:t>
            </w: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 — this template is not regulatory advice. Prepared with reference to GP/ST/No.46/2024 (Guidelines on Energy Management System), the Energy Efficiency and Conservation Act 2024 [Act 861] and the Energy Efficiency and Conservation Regulations 2024 [P.U.(A) 466/2024]; sources last verified 18 July 2026. Adapt every field to your organisation before use. Only Suruhanjaya Tenaga can determine compliance with the Act.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Where the plan comes from (GP46 para. 6.0(a))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The action plan is not a wish list — it is the closure of a measured gap. Three inputs feed it: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The EnMS self-evaluation and assessment findings (C10, C1) — organisational gaps: missing procedures, training, data, governance.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Technical assessments and energy audit findings — the engineering opportunity list, with the registered energy auditor’s savings estimates. The REM makes reference to the audit report’s ESM list when proposing the action plan (GP47 para. 3(f)(i)).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The gap between current performance and the targets set in C6 — the quantum the plan must close.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2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register fields — and how to fill them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610"/>
        <w:gridCol w:w="7136"/>
      </w:tblGrid>
      <w:tr>
        <w:trPr>
          <w:cantSplit/>
          <w:tblHeader/>
        </w:trPr>
        <w:tc>
          <w:tcPr>
            <w:tcW w:type="dxa" w:w="261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Field (xlsx column)</w:t>
            </w:r>
          </w:p>
        </w:tc>
        <w:tc>
          <w:tcPr>
            <w:tcW w:type="dxa" w:w="713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What goes in it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ESM ID / description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One measure per row, described so a newcomer could find it on site. Category and type follow the GP45 classification (see Section 4) so the register maps straight into the EE&amp;C report.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Category / Type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Category: Operation, System or Equipment (GP45 para. 4.1.9.4). Type: chiller/ACMV, compressor, fan, lighting, motor, pump, boiler, thermal oil heater, furnace, heater, dryer, burner, heat exchanger, passive design, awareness programme, energy monitoring system, process, cogeneration/trigeneration, etc. (GP45 para. 4.1.9.5).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Status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Proposed → In Progress → Completed (or Rejected, with reason) — the GP45 List-of-ESM statuses, so annual reporting is a filter, not a rewrite.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Estimated savings (GJ/yr and RM/yr)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From the audit or engineering estimate; state the basis. Once implemented, the M&amp;V result supersedes the estimate — keep both.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Investment cost (RM)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Capex + implementation cost. For no-cost operational measures enter 0 — they still carry savings and still get M&amp;V.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SPP / NPV / IRR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SPP = investment ÷ yearly savings cost (GP45 Equation 3) — the register computes it. Add NPV/IRR for board-level measures; record the discount rate used.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Owner / resources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A named person, internal or external (consultant, contractor, vendor), plus the cost and human-resource estimate — GP46 para. 6.0(c).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Timeline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Start and completion dates. GP46 contemplates targets achievable within three years of establishment (para. 5.3.2) — sequence the plan accordingly.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M&amp;V plan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Per ESM: the approach (e.g. IPMVP Option A/B/C/D), the measurement boundary, the baseline adjustment basis, and where the M&amp;V records live. GP46 para. 7.6 requires the plan, the data and the savings analysis to be documented and archived.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Verified savings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The M&amp;V result once measured — the number the management review and the EE&amp;C report carry.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3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Operating rhythm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610"/>
        <w:gridCol w:w="7136"/>
      </w:tblGrid>
      <w:tr>
        <w:trPr>
          <w:cantSplit/>
          <w:tblHeader/>
        </w:trPr>
        <w:tc>
          <w:tcPr>
            <w:tcW w:type="dxa" w:w="261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Cadence</w:t>
            </w:r>
          </w:p>
        </w:tc>
        <w:tc>
          <w:tcPr>
            <w:tcW w:type="dxa" w:w="713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Action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Monthly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Owners update status and progress notes; REM updates M&amp;V data for completed ESMs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Each Committee meeting (≥4/yr)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Review the register: slippage, blockers, savings vs estimate; approve new ESMs; record decisions in the minutes (C3)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Non-conformance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Where an implemented measure underperforms or a procedure is not followed, raise a corrective action row (register sheet 2) — GP46 para. 7.5 requires procedures for non-conformance and corrective and preventive action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Annually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Close the reporting year: Completed ESMs → the EE&amp;C report Summary of Implemented ESM (C12); revise targets and re-prioritise — GP46 para. 4.3(b)(ix)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4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Design and procurement measures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GP46 embeds efficiency into the policy commitment on energy-efficient products in new projects, retrofitted and renovated facilities where economically feasible (para. 4.4.1(d)). Operationalise it with two standing rows in the register: (1) a design-review rule — energy performance is a stated criterion in every new project and renovation design review; (2) a procurement rule — energy-consuming equipment above RM[threshold] requires a lifecycle-energy comparison before purchase. Both rows carry an owner and get reviewed like any other ESM.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5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M&amp;V discipline — why it is not optional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Every ringgit of claimed savings that cannot be shown against a measured baseline is a credibility risk — with your board before it is with the Commission. GP46 para. 7.6 requires M&amp;V per ESM; the EE&amp;C report carries yearly savings figures per implemented measure (GP45 para. 4.1.9.3). The defensible way to produce those figures is a recognised protocol: Innovast delivers M&amp;V to IPMVP as standard, selects the option (A/B/C/D) per measure, and archives the plan-data-analysis chain GP46 asks for.</w:t>
      </w:r>
    </w:p>
    <w:tbl>
      <w:tblPr>
        <w:tblW w:type="dxa" w:w="9746"/>
        <w:tblBorders>
          <w:top w:val="single" w:color="E5E7EB" w:sz="4"/>
          <w:left w:val="single" w:color="00BF63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8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20"/>
                <w:szCs w:val="20"/>
              </w:rPr>
              <w:t xml:space="preserve">From register to guaranteed savings. 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Where the register shows a deep retrofit worth doing, Innovast can structure it as an Energy Performance Contract — implementation financed from verified savings, performance risk on us, IPMVP M&amp;V for the term. And InnoSense keeps the whole register measured continuously. </w:t>
            </w: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eeca2024.my · anslem@innovast.asia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</w:pP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complete Starter Pack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This document is one of thirteen working documents in the EECA 2024 EnMS Starter Pack — together they stand up an energy management system that follows GP/ST/No.46/2024 and the statutory duties of Act 861.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3300"/>
        <w:gridCol w:w="5746"/>
      </w:tblGrid>
      <w:tr>
        <w:trPr>
          <w:cantSplit/>
          <w:tblHeader/>
        </w:trPr>
        <w:tc>
          <w:tcPr>
            <w:tcW w:type="dxa" w:w="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Code</w:t>
            </w:r>
          </w:p>
        </w:tc>
        <w:tc>
          <w:tcPr>
            <w:tcW w:type="dxa" w:w="3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Document</w:t>
            </w:r>
          </w:p>
        </w:tc>
        <w:tc>
          <w:tcPr>
            <w:tcW w:type="dxa" w:w="5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Use it to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Pack Guide &amp; Compliance Clock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Orient the team; diarise the statutory deadlines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EECA EnMS Gap Assessment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Score your current position (Yes / Partial / No) against every GP46 element and statutory duty; get a readiness band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Policy Template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Draft the policy with the four GP46-mandatory commitments built in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C3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 &amp; Governance Kit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 the management representative; constitute the Committee; run and minute the meetings and the annual management review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C4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&amp; Obligations Register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Hold every Act 861 / EECR duty with citation, deadline, penalty, owner and status — the legal-compliance evaluation GP46 para. 8.2(g) expects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C5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Appointment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Choose internal vs external appointment; respect the tiering and the caps; manage the three-year window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C6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EnPI / EEI Worksheet (sector-selectable)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Establish the baseline and indicator — SEC path for industry, BEI path for buildings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C7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Data Collection Plan + 12-Month Consumption Tracker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Plan and record the twelve months of consumption, generation and variable data GP46 requires</w:t>
            </w:r>
          </w:p>
        </w:tc>
      </w:tr>
      <w:tr>
        <w:trPr>
          <w:cantSplit/>
        </w:trPr>
        <w:tc>
          <w:tcPr>
            <w:tcW w:type="dxa" w:w="7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273AD"/>
                <w:sz w:val="18"/>
                <w:szCs w:val="18"/>
              </w:rPr>
              <w:t xml:space="preserve">C8</w:t>
            </w:r>
          </w:p>
        </w:tc>
        <w:tc>
          <w:tcPr>
            <w:tcW w:type="dxa" w:w="33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Action Plan &amp; ESM Register (docx + xlsx)</w:t>
            </w:r>
          </w:p>
        </w:tc>
        <w:tc>
          <w:tcPr>
            <w:tcW w:type="dxa" w:w="5746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Turn audit findings into a prioritised, costed, owned action plan with M&amp;V per ESM  </w:t>
            </w:r>
            <w:r>
              <w:rPr>
                <w:rFonts w:ascii="Inter" w:cs="Inter" w:eastAsia="Inter" w:hAnsi="Inter"/>
                <w:b/>
                <w:bCs/>
                <w:color w:val="1273AD"/>
                <w:sz w:val="16"/>
                <w:szCs w:val="16"/>
              </w:rPr>
              <w:t xml:space="preserve">(this document)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C9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Communication, Awareness &amp; Training Plan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Discharge GP46 para. 7.7–7.9 — communication matrix, motivation strategy, training programme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Self-Evaluation Matrix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Run the GP46 para. 5.2.3(a) maturity self-evaluation at Committee formation and periodically after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 &amp; Log Sheet Starters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Seed the operational controls — chiller plant and lighting examples to adapt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Skeleton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Assemble the annual report content in the GP45 structure before entering it in the Commission’s online system</w:t>
            </w:r>
          </w:p>
        </w:tc>
      </w:tr>
    </w:tbl>
    <w:p>
      <w:pPr>
        <w:spacing w:after="0" w:before="160"/>
        <w:jc w:val="left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Get the complete pack, free: 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eeca2024.my/enms-pack</w:t>
      </w:r>
      <w:r>
        <w:rPr>
          <w:rFonts w:ascii="Inter" w:cs="Inter" w:eastAsia="Inter" w:hAnsi="Inter"/>
          <w:color w:val="4B5563"/>
          <w:sz w:val="19"/>
          <w:szCs w:val="19"/>
        </w:rPr>
        <w:t xml:space="preserve">   ·   anslem@innovast.asia   ·   +60 12 355 6214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swiss"/>
    <w:pitch w:val="variable"/>
    <w:embedRegular r:id="rIdFont1" w:fontKey="{470DCE16-3B99-494B-83C2-4EE091D6F3E9}"/>
    <w:embedBold r:id="rIdFont2" w:fontKey="{9C300E52-5ACC-45A4-9D1A-AFDCF0E45FDB}"/>
  </w:font>
  <w:font w:name="Inter">
    <w:charset w:val="00"/>
    <w:family w:val="swiss"/>
    <w:pitch w:val="variable"/>
    <w:embedRegular r:id="rIdFont3" w:fontKey="{84FB0E72-29F8-499D-A983-6D2C56250FA1}"/>
    <w:embedBold r:id="rIdFont4" w:fontKey="{2261591B-34EF-4BC1-8109-4C697A40B023}"/>
    <w:embedItalic r:id="rIdFont5" w:fontKey="{919FDF78-DF3C-4F29-A038-052DC4356CB2}"/>
    <w:embedBoldItalic r:id="rIdFont6" w:fontKey="{CF3A2F90-DDB1-43DB-9A36-5428BB4088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3"/>
      </w:pBdr>
      <w:tabs>
        <w:tab w:val="right" w:pos="9746"/>
      </w:tabs>
      <w:spacing w:after="20"/>
    </w:pPr>
    <w:r>
      <w:rPr>
        <w:rFonts w:ascii="Inter" w:cs="Inter" w:eastAsia="Inter" w:hAnsi="Inter"/>
        <w:color w:val="6B7280"/>
        <w:sz w:val="15"/>
        <w:szCs w:val="15"/>
      </w:rPr>
      <w:t xml:space="preserve">INV-ENMS-C8 · Rev 1.0 · Draft for adaptation</w:t>
    </w:r>
    <w:r>
      <w:rPr>
        <w:rFonts w:ascii="Inter" w:cs="Inter" w:eastAsia="Inter" w:hAnsi="Inter"/>
        <w:sz w:val="15"/>
        <w:szCs w:val="15"/>
      </w:rPr>
      <w:t xml:space="preserve">	</w:t>
    </w:r>
    <w:r>
      <w:rPr>
        <w:rFonts w:ascii="Inter" w:cs="Inter" w:eastAsia="Inter" w:hAnsi="Inter"/>
        <w:color w:val="6B7280"/>
        <w:sz w:val="15"/>
        <w:szCs w:val="15"/>
      </w:rPr>
      <w:t xml:space="preserve">Page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6B7280"/>
        <w:sz w:val="15"/>
        <w:szCs w:val="15"/>
      </w:rPr>
      <w:t xml:space="preserve"> of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r>
      <w:rPr>
        <w:rFonts w:ascii="Inter" w:cs="Inter" w:eastAsia="Inter" w:hAnsi="Inter"/>
        <w:color w:val="6B7280"/>
        <w:sz w:val="15"/>
        <w:szCs w:val="15"/>
      </w:rPr>
      <w:t xml:space="preserve">Innovast Sdn Bhd · Licensed ESCO · Registered with Suruhanjaya Tenaga (Energy Commission Malaysia)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after="40"/>
    </w:pPr>
    <w:r>
      <w:rPr>
        <w:rFonts w:ascii="Poppins" w:cs="Poppins" w:eastAsia="Poppins" w:hAnsi="Poppins"/>
        <w:b/>
        <w:bCs/>
        <w:color w:val="111827"/>
        <w:sz w:val="21"/>
        <w:szCs w:val="21"/>
      </w:rPr>
      <w:t xml:space="preserve">Innovast Sdn Bhd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Licensed Energy Service Company (ESCO) · ESCO Reg. No. ESCO 327(2023)/76/2024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Company Reg. No. 202201012221 (1457918-M) · Registered with Suruhanjaya Tenaga · SEDA Recognised</w:t>
    </w:r>
  </w:p>
  <w:p>
    <w:pPr>
      <w:spacing w:after="0"/>
    </w:pPr>
    <w:r>
      <w:rPr>
        <w:rFonts w:ascii="Inter" w:cs="Inter" w:eastAsia="Inter" w:hAnsi="Inter"/>
        <w:color w:val="1273AD"/>
        <w:sz w:val="18"/>
        <w:szCs w:val="18"/>
      </w:rPr>
      <w:t xml:space="preserve">www.innovast.asia · anslem@innovast.asia · +60 12 355 6214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7EB" w:sz="4" w:space="3"/>
      </w:pBdr>
      <w:tabs>
        <w:tab w:val="right" w:pos="9746"/>
      </w:tabs>
    </w:pPr>
    <w:r>
      <w:drawing>
        <wp:inline distT="0" distB="0" distL="0" distR="0">
          <wp:extent cx="85725" cy="152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cs="Poppins" w:eastAsia="Poppins" w:hAnsi="Poppins"/>
        <w:b/>
        <w:bCs/>
        <w:color w:val="6B7280"/>
        <w:sz w:val="16"/>
        <w:szCs w:val="16"/>
      </w:rPr>
      <w:t xml:space="preserve">  EECA 2024 EnMS Starter Pack</w:t>
    </w:r>
    <w:r>
      <w:rPr>
        <w:rFonts w:ascii="Inter" w:cs="Inter" w:eastAsia="Inter" w:hAnsi="Inter"/>
        <w:color w:val="6B7280"/>
        <w:sz w:val="16"/>
        <w:szCs w:val="16"/>
      </w:rPr>
      <w:t xml:space="preserve">	C8 · Action Plan &amp; ESM Register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  <w:lvl w:ilvl="1" w15:tentative="1">
      <w:start w:val="1"/>
      <w:numFmt w:val="bullet"/>
      <w:lvlText w:val="·"/>
      <w:lvlJc w:val="left"/>
      <w:pPr>
        <w:ind w:left="7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mbedTrueTypeFonts/>
  <w:saveSubsetFonts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6a3225be243d0684e64ffa8d8cda75a3f65969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 standalone="yes"?><Relationships xmlns="http://schemas.openxmlformats.org/package/2006/relationships"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Relationship Id="rIdFont5" Type="http://schemas.openxmlformats.org/officeDocument/2006/relationships/font" Target="fonts/font5.odttf"/><Relationship Id="rIdFont6" Type="http://schemas.openxmlformats.org/officeDocument/2006/relationships/font" Target="fonts/font6.odttf"/></Relationships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f7d3d510dd56c0f342def237bd02c91681dac2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C8 · Action Plan &amp; ESM Register — EECA 2024 EnMS Starter Pack</dc:title>
  <dc:subject>EECA 2024 EnMS Starter Pack — draft EnMS documentation for Malaysian designated energy consumers (GP/ST/No.46/2024; Act 861; P.U.(A) 466/2024)</dc:subject>
  <dc:creator>Anslem Lim</dc:creator>
  <cp:keywords>EECA 2024, Act 861, EnMS, GP/ST/No.46/2024, energy management, Innovast, Suruhanjaya Tenaga</cp:keywords>
  <dc:description>Prepared by Innovast Sdn Bhd, Licensed ESCO (ESCO 327(2023)/76/2024). Draft for adaptation — adapt to your organisation before use; not regulatory advice.</dc:description>
  <cp:lastModifiedBy>Innovast Sdn Bhd</cp:lastModifiedBy>
  <cp:revision>1</cp:revision>
  <dcterms:created xsi:type="dcterms:W3CDTF">2026-07-29T04:16:49.899Z</dcterms:created>
  <dcterms:modified xsi:type="dcterms:W3CDTF">2026-07-29T04:16:49.899Z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