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4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6"/>
        <w:gridCol w:w="1700"/>
      </w:tblGrid>
      <w:tr>
        <w:trPr>
          <w:cantSplit/>
          <w:trHeight w:val="80" w:hRule="exact"/>
        </w:trPr>
        <w:tc>
          <w:tcPr>
            <w:tcW w:type="dxa" w:w="8046"/>
            <w:tcBorders>
              <w:top w:val="none"/>
              <w:left w:val="none"/>
              <w:bottom w:val="none"/>
              <w:right w:val="none"/>
            </w:tcBorders>
            <w:shd w:fill="38B0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line="40" w:lineRule="exact"/>
            </w:pPr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1700"/>
            <w:tcBorders>
              <w:top w:val="none"/>
              <w:left w:val="none"/>
              <w:bottom w:val="none"/>
              <w:right w:val="none"/>
            </w:tcBorders>
            <w:shd w:fill="F8904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line="40" w:lineRule="exact"/>
            </w:pPr>
            <w:r>
              <w:rPr>
                <w:sz w:val="2"/>
                <w:szCs w:val="2"/>
              </w:rPr>
              <w:t xml:space="preserve"/>
            </w:r>
          </w:p>
        </w:tc>
      </w:tr>
    </w:tbl>
    <w:p>
      <w:pPr>
        <w:spacing w:after="320"/>
      </w:pPr>
      <w:r>
        <w:rPr>
          <w:sz w:val="2"/>
          <w:szCs w:val="2"/>
        </w:rPr>
        <w:t xml:space="preserve"/>
      </w:r>
    </w:p>
    <w:p>
      <w:pPr>
        <w:spacing w:after="420"/>
      </w:pPr>
      <w:r>
        <w:drawing>
          <wp:inline distT="0" distB="0" distL="0" distR="0">
            <wp:extent cx="1905000" cy="485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700"/>
      </w:pPr>
      <w:r>
        <w:rPr>
          <w:rFonts w:ascii="Poppins" w:cs="Poppins" w:eastAsia="Poppins" w:hAnsi="Poppins"/>
          <w:b/>
          <w:bCs/>
          <w:color w:val="F89048"/>
          <w:spacing w:val="20"/>
          <w:sz w:val="20"/>
          <w:szCs w:val="20"/>
        </w:rPr>
        <w:t xml:space="preserve">EECA 2024 EnMS STARTER PACK</w:t>
      </w:r>
    </w:p>
    <w:p>
      <w:pPr>
        <w:spacing w:after="100"/>
      </w:pPr>
      <w:r>
        <w:rPr>
          <w:rFonts w:ascii="Poppins" w:cs="Poppins" w:eastAsia="Poppins" w:hAnsi="Poppins"/>
          <w:b/>
          <w:bCs/>
          <w:color w:val="6B7280"/>
          <w:sz w:val="20"/>
          <w:szCs w:val="20"/>
        </w:rPr>
        <w:t xml:space="preserve">C7 · DATA COLLECTION PLAN</w:t>
      </w:r>
    </w:p>
    <w:p>
      <w:pPr>
        <w:spacing w:after="160"/>
      </w:pPr>
      <w:r>
        <w:rPr>
          <w:rFonts w:ascii="Poppins" w:cs="Poppins" w:eastAsia="Poppins" w:hAnsi="Poppins"/>
          <w:b/>
          <w:bCs/>
          <w:color w:val="111827"/>
          <w:sz w:val="52"/>
          <w:szCs w:val="52"/>
        </w:rPr>
        <w:t xml:space="preserve">Energy Data Collection Plan</w:t>
      </w:r>
    </w:p>
    <w:p>
      <w:pPr>
        <w:pBdr>
          <w:top w:val="single" w:color="38B0F8" w:sz="18" w:space="8"/>
        </w:pBdr>
        <w:spacing w:after="200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What to collect, from where, how often, and who owns it — companion to the 12-Month Consumption Tracker (xlsx)</w:t>
      </w:r>
    </w:p>
    <w:p>
      <w:pPr>
        <w:spacing w:after="360" w:line="32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GP46 para. 5.2.4(b) defines four data streams for the EnMS: the equipment and process inventory, energy consumption data (at least twelve consecutive months, utility bills at minimum), on-site generation data, and the variable data that drives consumption. This plan assigns each stream a source, frequency and owner; the accompanying xlsx tracker is where the numbers land.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2100"/>
        <w:gridCol w:w="900"/>
        <w:gridCol w:w="1750"/>
        <w:gridCol w:w="2300"/>
        <w:gridCol w:w="2696"/>
      </w:tblGrid>
      <w:tr>
        <w:trPr>
          <w:cantSplit/>
        </w:trPr>
        <w:tc>
          <w:tcPr>
            <w:tcW w:type="dxa" w:w="21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DOCUMENT NO.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INV-ENMS-C7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REV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1.0</w:t>
            </w:r>
          </w:p>
        </w:tc>
        <w:tc>
          <w:tcPr>
            <w:tcW w:type="dxa" w:w="175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ISSUE DATE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29 July 2026</w:t>
            </w:r>
          </w:p>
        </w:tc>
        <w:tc>
          <w:tcPr>
            <w:tcW w:type="dxa" w:w="23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PREPARED BY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Innovast Sdn Bhd</w:t>
            </w:r>
          </w:p>
        </w:tc>
        <w:tc>
          <w:tcPr>
            <w:tcW w:type="dxa" w:w="269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APPROVED BY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Anslem Lim, CEO</w:t>
            </w:r>
          </w:p>
        </w:tc>
      </w:tr>
    </w:tbl>
    <w:p>
      <w:pPr>
        <w:spacing w:after="260" w:before="80"/>
        <w:jc w:val="both"/>
      </w:pPr>
      <w:r>
        <w:rPr>
          <w:rFonts w:ascii="Inter" w:cs="Inter" w:eastAsia="Inter" w:hAnsi="Inter"/>
          <w:i/>
          <w:iCs/>
          <w:color w:val="6B7280"/>
          <w:sz w:val="16"/>
          <w:szCs w:val="16"/>
        </w:rPr>
        <w:t xml:space="preserve">Rev 1.0 · issued 29 July 2026 · regulatory sources last verified 18 July 2026.</w:t>
      </w:r>
    </w:p>
    <w:tbl>
      <w:tblPr>
        <w:tblW w:type="dxa" w:w="9746"/>
        <w:tblBorders>
          <w:top w:val="single" w:color="E5E7EB" w:sz="4"/>
          <w:left w:val="single" w:color="F89048" w:sz="24"/>
          <w:bottom w:val="single" w:color="E5E7EB" w:sz="4"/>
          <w:right w:val="single" w:color="E5E7EB" w:sz="4"/>
          <w:insideH w:val="none"/>
          <w:insideV w:val="none"/>
        </w:tblBorders>
      </w:tblPr>
      <w:tblGrid>
        <w:gridCol w:w="9746"/>
      </w:tblGrid>
      <w:tr>
        <w:trPr>
          <w:cantSplit/>
        </w:trPr>
        <w:tc>
          <w:tcPr>
            <w:tcW w:type="dxa" w:w="9746"/>
            <w:shd w:fill="F9FAFB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0" w:line="260"/>
              <w:jc w:val="both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DRAFT FOR ADAPTATION</w:t>
            </w:r>
            <w:r>
              <w:rPr>
                <w:rFonts w:ascii="Inter" w:cs="Inter" w:eastAsia="Inter" w:hAnsi="Inter"/>
                <w:color w:val="4B5563"/>
                <w:sz w:val="18"/>
                <w:szCs w:val="18"/>
              </w:rPr>
              <w:t xml:space="preserve"> — this template is not regulatory advice. Prepared with reference to GP/ST/No.46/2024 (Guidelines on Energy Management System), the Energy Efficiency and Conservation Act 2024 [Act 861] and the Energy Efficiency and Conservation Regulations 2024 [P.U.(A) 466/2024]; sources last verified 18 July 2026. Adapt every field to your organisation before use. Only Suruhanjaya Tenaga can determine compliance with the Act.</w:t>
            </w:r>
          </w:p>
        </w:tc>
      </w:tr>
    </w:tbl>
    <w:p>
      <w:r>
        <w:br w:type="page"/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1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The four data streams (GP46 para. 5.2.4(b))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650"/>
        <w:gridCol w:w="3450"/>
        <w:gridCol w:w="2900"/>
        <w:gridCol w:w="1746"/>
      </w:tblGrid>
      <w:tr>
        <w:trPr>
          <w:cantSplit/>
          <w:tblHeader/>
        </w:trPr>
        <w:tc>
          <w:tcPr>
            <w:tcW w:type="dxa" w:w="165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Stream</w:t>
            </w:r>
          </w:p>
        </w:tc>
        <w:tc>
          <w:tcPr>
            <w:tcW w:type="dxa" w:w="345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What</w:t>
            </w:r>
          </w:p>
        </w:tc>
        <w:tc>
          <w:tcPr>
            <w:tcW w:type="dxa" w:w="29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Minimum standard</w:t>
            </w:r>
          </w:p>
        </w:tc>
        <w:tc>
          <w:tcPr>
            <w:tcW w:type="dxa" w:w="174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Lands in</w:t>
            </w:r>
          </w:p>
        </w:tc>
      </w:tr>
      <w:tr>
        <w:trPr>
          <w:cantSplit/>
        </w:trPr>
        <w:tc>
          <w:tcPr>
            <w:tcW w:type="dxa" w:w="16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1 · Inventory</w:t>
            </w:r>
          </w:p>
        </w:tc>
        <w:tc>
          <w:tcPr>
            <w:tcW w:type="dxa" w:w="34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Operation systems, mechanical and electrical services, production processes and equipment</w:t>
            </w:r>
          </w:p>
        </w:tc>
        <w:tc>
          <w:tcPr>
            <w:tcW w:type="dxa" w:w="29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One controlled list, reviewed annually</w:t>
            </w:r>
          </w:p>
        </w:tc>
        <w:tc>
          <w:tcPr>
            <w:tcW w:type="dxa" w:w="1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Tracker — "SEU &amp; Inventory" sheet</w:t>
            </w:r>
          </w:p>
        </w:tc>
      </w:tr>
      <w:tr>
        <w:trPr>
          <w:cantSplit/>
        </w:trPr>
        <w:tc>
          <w:tcPr>
            <w:tcW w:type="dxa" w:w="16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2 · Consumption</w:t>
            </w:r>
          </w:p>
        </w:tc>
        <w:tc>
          <w:tcPr>
            <w:tcW w:type="dxa" w:w="34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All energy and energy resources purchased from suppliers (First and Second Schedule of the Act), in the billed units</w:t>
            </w:r>
          </w:p>
        </w:tc>
        <w:tc>
          <w:tcPr>
            <w:tcW w:type="dxa" w:w="29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≥12 consecutive months of the most recent data, from utility bills; submetering for individual SEUs where available</w:t>
            </w:r>
          </w:p>
        </w:tc>
        <w:tc>
          <w:tcPr>
            <w:tcW w:type="dxa" w:w="1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Tracker — "Consumption" sheet</w:t>
            </w:r>
          </w:p>
        </w:tc>
      </w:tr>
      <w:tr>
        <w:trPr>
          <w:cantSplit/>
        </w:trPr>
        <w:tc>
          <w:tcPr>
            <w:tcW w:type="dxa" w:w="16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3 · Generation</w:t>
            </w:r>
          </w:p>
        </w:tc>
        <w:tc>
          <w:tcPr>
            <w:tcW w:type="dxa" w:w="34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Energy generated on-site: electricity (kWh), chilled water (RTh), steam (tonnes), other forms</w:t>
            </w:r>
          </w:p>
        </w:tc>
        <w:tc>
          <w:tcPr>
            <w:tcW w:type="dxa" w:w="29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Monthly totals per generated stream</w:t>
            </w:r>
          </w:p>
        </w:tc>
        <w:tc>
          <w:tcPr>
            <w:tcW w:type="dxa" w:w="1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Tracker — "Generation" sheet</w:t>
            </w:r>
          </w:p>
        </w:tc>
      </w:tr>
      <w:tr>
        <w:trPr>
          <w:cantSplit/>
        </w:trPr>
        <w:tc>
          <w:tcPr>
            <w:tcW w:type="dxa" w:w="16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4 · Variable data</w:t>
            </w:r>
          </w:p>
        </w:tc>
        <w:tc>
          <w:tcPr>
            <w:tcW w:type="dxa" w:w="345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Operating hours, production volume, weather (e.g. cooling degree days), occupancy — whatever moves your consumption</w:t>
            </w:r>
          </w:p>
        </w:tc>
        <w:tc>
          <w:tcPr>
            <w:tcW w:type="dxa" w:w="29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Monthly values, same periods as consumption</w:t>
            </w:r>
          </w:p>
        </w:tc>
        <w:tc>
          <w:tcPr>
            <w:tcW w:type="dxa" w:w="1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Tracker — "Variable Data" sheet</w:t>
            </w:r>
          </w:p>
        </w:tc>
      </w:tr>
    </w:tbl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2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Source map — fill in and keep current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2513"/>
        <w:gridCol w:w="2417"/>
        <w:gridCol w:w="1837"/>
        <w:gridCol w:w="1256"/>
        <w:gridCol w:w="1723"/>
      </w:tblGrid>
      <w:tr>
        <w:trPr>
          <w:cantSplit/>
          <w:tblHeader/>
        </w:trPr>
        <w:tc>
          <w:tcPr>
            <w:tcW w:type="dxa" w:w="2513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Data item</w:t>
            </w:r>
          </w:p>
        </w:tc>
        <w:tc>
          <w:tcPr>
            <w:tcW w:type="dxa" w:w="2417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Source (account no. / meter / system)</w:t>
            </w:r>
          </w:p>
        </w:tc>
        <w:tc>
          <w:tcPr>
            <w:tcW w:type="dxa" w:w="1837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Frequency</w:t>
            </w:r>
          </w:p>
        </w:tc>
        <w:tc>
          <w:tcPr>
            <w:tcW w:type="dxa" w:w="125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Owner</w:t>
            </w:r>
          </w:p>
        </w:tc>
        <w:tc>
          <w:tcPr>
            <w:tcW w:type="dxa" w:w="1723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Cross-check</w:t>
            </w:r>
          </w:p>
        </w:tc>
      </w:tr>
      <w:tr>
        <w:trPr>
          <w:cantSplit/>
        </w:trPr>
        <w:tc>
          <w:tcPr>
            <w:tcW w:type="dxa" w:w="251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Electricity (TNB or licensee)</w:t>
            </w:r>
          </w:p>
        </w:tc>
        <w:tc>
          <w:tcPr>
            <w:tcW w:type="dxa" w:w="241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83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Monthly bill</w:t>
            </w:r>
          </w:p>
        </w:tc>
        <w:tc>
          <w:tcPr>
            <w:tcW w:type="dxa" w:w="125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7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Meter reading vs bill</w:t>
            </w:r>
          </w:p>
        </w:tc>
      </w:tr>
      <w:tr>
        <w:trPr>
          <w:cantSplit/>
        </w:trPr>
        <w:tc>
          <w:tcPr>
            <w:tcW w:type="dxa" w:w="251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Natural gas / LPG / fuels</w:t>
            </w:r>
          </w:p>
        </w:tc>
        <w:tc>
          <w:tcPr>
            <w:tcW w:type="dxa" w:w="241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83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Monthly bill / delivery notes</w:t>
            </w:r>
          </w:p>
        </w:tc>
        <w:tc>
          <w:tcPr>
            <w:tcW w:type="dxa" w:w="125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7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Delivery quantity vs invoice</w:t>
            </w:r>
          </w:p>
        </w:tc>
      </w:tr>
      <w:tr>
        <w:trPr>
          <w:cantSplit/>
        </w:trPr>
        <w:tc>
          <w:tcPr>
            <w:tcW w:type="dxa" w:w="251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Purchased chilled water / steam (if any)</w:t>
            </w:r>
          </w:p>
        </w:tc>
        <w:tc>
          <w:tcPr>
            <w:tcW w:type="dxa" w:w="241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83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Monthly bill</w:t>
            </w:r>
          </w:p>
        </w:tc>
        <w:tc>
          <w:tcPr>
            <w:tcW w:type="dxa" w:w="125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7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</w:tr>
      <w:tr>
        <w:trPr>
          <w:cantSplit/>
        </w:trPr>
        <w:tc>
          <w:tcPr>
            <w:tcW w:type="dxa" w:w="251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On-site solar PV generation</w:t>
            </w:r>
          </w:p>
        </w:tc>
        <w:tc>
          <w:tcPr>
            <w:tcW w:type="dxa" w:w="241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83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Inverter / monitoring portal, monthly</w:t>
            </w:r>
          </w:p>
        </w:tc>
        <w:tc>
          <w:tcPr>
            <w:tcW w:type="dxa" w:w="125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7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Export vs import records</w:t>
            </w:r>
          </w:p>
        </w:tc>
      </w:tr>
      <w:tr>
        <w:trPr>
          <w:cantSplit/>
        </w:trPr>
        <w:tc>
          <w:tcPr>
            <w:tcW w:type="dxa" w:w="251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Other on-site generation (genset, boiler steam)</w:t>
            </w:r>
          </w:p>
        </w:tc>
        <w:tc>
          <w:tcPr>
            <w:tcW w:type="dxa" w:w="241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83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Log sheets, monthly totals</w:t>
            </w:r>
          </w:p>
        </w:tc>
        <w:tc>
          <w:tcPr>
            <w:tcW w:type="dxa" w:w="125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7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Fuel input records</w:t>
            </w:r>
          </w:p>
        </w:tc>
      </w:tr>
      <w:tr>
        <w:trPr>
          <w:cantSplit/>
        </w:trPr>
        <w:tc>
          <w:tcPr>
            <w:tcW w:type="dxa" w:w="251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Production output per product (industry)</w:t>
            </w:r>
          </w:p>
        </w:tc>
        <w:tc>
          <w:tcPr>
            <w:tcW w:type="dxa" w:w="241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83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ERP / production report, monthly</w:t>
            </w:r>
          </w:p>
        </w:tc>
        <w:tc>
          <w:tcPr>
            <w:tcW w:type="dxa" w:w="125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7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POE allocation basis</w:t>
            </w:r>
          </w:p>
        </w:tc>
      </w:tr>
      <w:tr>
        <w:trPr>
          <w:cantSplit/>
        </w:trPr>
        <w:tc>
          <w:tcPr>
            <w:tcW w:type="dxa" w:w="251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Operating hours / shifts / shutdown days</w:t>
            </w:r>
          </w:p>
        </w:tc>
        <w:tc>
          <w:tcPr>
            <w:tcW w:type="dxa" w:w="241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83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Operations calendar, monthly</w:t>
            </w:r>
          </w:p>
        </w:tc>
        <w:tc>
          <w:tcPr>
            <w:tcW w:type="dxa" w:w="125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7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</w:tr>
      <w:tr>
        <w:trPr>
          <w:cantSplit/>
        </w:trPr>
        <w:tc>
          <w:tcPr>
            <w:tcW w:type="dxa" w:w="251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Occupancy / rooms sold / beds / footfall (buildings)</w:t>
            </w:r>
          </w:p>
        </w:tc>
        <w:tc>
          <w:tcPr>
            <w:tcW w:type="dxa" w:w="241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83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FM or front-office system, monthly</w:t>
            </w:r>
          </w:p>
        </w:tc>
        <w:tc>
          <w:tcPr>
            <w:tcW w:type="dxa" w:w="125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7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</w:tr>
      <w:tr>
        <w:trPr>
          <w:cantSplit/>
        </w:trPr>
        <w:tc>
          <w:tcPr>
            <w:tcW w:type="dxa" w:w="251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GFA and area schedule (buildings)</w:t>
            </w:r>
          </w:p>
        </w:tc>
        <w:tc>
          <w:tcPr>
            <w:tcW w:type="dxa" w:w="241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83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As-built drawings — once, then on change</w:t>
            </w:r>
          </w:p>
        </w:tc>
        <w:tc>
          <w:tcPr>
            <w:tcW w:type="dxa" w:w="125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/>
            </w:r>
          </w:p>
        </w:tc>
        <w:tc>
          <w:tcPr>
            <w:tcW w:type="dxa" w:w="17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GP45 GFA exclusions applied</w:t>
            </w:r>
          </w:p>
        </w:tc>
      </w:tr>
    </w:tbl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3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Rules that keep the dataset defensible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Inter" w:cs="Inter" w:eastAsia="Inter" w:hAnsi="Inter"/>
          <w:b/>
          <w:bCs/>
          <w:color w:val="1F2937"/>
          <w:sz w:val="20"/>
          <w:szCs w:val="20"/>
        </w:rPr>
        <w:t xml:space="preserve">Billed units in, conversions referenced out. </w:t>
      </w:r>
      <w:r>
        <w:rPr>
          <w:rFonts w:ascii="Inter" w:cs="Inter" w:eastAsia="Inter" w:hAnsi="Inter"/>
          <w:color w:val="1F2937"/>
          <w:sz w:val="20"/>
          <w:szCs w:val="20"/>
        </w:rPr>
        <w:t xml:space="preserve">Record each fuel in the unit your supplier bills (kWh, GJ, tonnes, m³, MMBtu). The Commission’s online system converts to GJ automatically at reporting time (GP45 para. 4.1.5.2); for your own GJ totals, apply the conversion coefficients of GP/ST/No.44/2024 Appendix A, current revision — do not hand-copy coefficient tables into spreadsheets that will outlive the revision.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Inter" w:cs="Inter" w:eastAsia="Inter" w:hAnsi="Inter"/>
          <w:b/>
          <w:bCs/>
          <w:color w:val="1F2937"/>
          <w:sz w:val="20"/>
          <w:szCs w:val="20"/>
        </w:rPr>
        <w:t xml:space="preserve">Scheduled vs non-scheduled fuels. </w:t>
      </w:r>
      <w:r>
        <w:rPr>
          <w:rFonts w:ascii="Inter" w:cs="Inter" w:eastAsia="Inter" w:hAnsi="Inter"/>
          <w:color w:val="1F2937"/>
          <w:sz w:val="20"/>
          <w:szCs w:val="20"/>
        </w:rPr>
        <w:t xml:space="preserve">The Act’s definitions of energy and energy resources are the Second and First Schedules of Act 861 (electricity, chilled water, steam, hot water; natural gas, LPG constituents, coal, biomass, biogas, biodiesel, solar, etc.). Fuels outside the Schedules — diesel or fuel oil for gensets, for example — are not part of the statutory consumption totals: track them on a separate row for management purposes and keep them out of threshold and EE&amp;C-report arithmetic.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Inter" w:cs="Inter" w:eastAsia="Inter" w:hAnsi="Inter"/>
          <w:b/>
          <w:bCs/>
          <w:color w:val="1F2937"/>
          <w:sz w:val="20"/>
          <w:szCs w:val="20"/>
        </w:rPr>
        <w:t xml:space="preserve">Twelve consecutive months, no gaps. </w:t>
      </w:r>
      <w:r>
        <w:rPr>
          <w:rFonts w:ascii="Inter" w:cs="Inter" w:eastAsia="Inter" w:hAnsi="Inter"/>
          <w:color w:val="1F2937"/>
          <w:sz w:val="20"/>
          <w:szCs w:val="20"/>
        </w:rPr>
        <w:t xml:space="preserve">A missing month breaks the baseline and the EE&amp;C report dataset alike. If a bill is missing, chase the supplier copy — do not interpolate silently; if estimation is unavoidable, mark the cell and note the basis.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Inter" w:cs="Inter" w:eastAsia="Inter" w:hAnsi="Inter"/>
          <w:b/>
          <w:bCs/>
          <w:color w:val="1F2937"/>
          <w:sz w:val="20"/>
          <w:szCs w:val="20"/>
        </w:rPr>
        <w:t xml:space="preserve">The REM verifies against source documents. </w:t>
      </w:r>
      <w:r>
        <w:rPr>
          <w:rFonts w:ascii="Inter" w:cs="Inter" w:eastAsia="Inter" w:hAnsi="Inter"/>
          <w:color w:val="1F2937"/>
          <w:sz w:val="20"/>
          <w:szCs w:val="20"/>
        </w:rPr>
        <w:t xml:space="preserve">GP47 para. 3(e): reported data is compared with actual utility bills and invoices, and cross-examined against maintenance records, equipment specifications and audit reports. Keep the bill PDFs filed by month next to the tracker.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Inter" w:cs="Inter" w:eastAsia="Inter" w:hAnsi="Inter"/>
          <w:b/>
          <w:bCs/>
          <w:color w:val="1F2937"/>
          <w:sz w:val="20"/>
          <w:szCs w:val="20"/>
        </w:rPr>
        <w:t xml:space="preserve">SEU submetering is the upgrade path. </w:t>
      </w:r>
      <w:r>
        <w:rPr>
          <w:rFonts w:ascii="Inter" w:cs="Inter" w:eastAsia="Inter" w:hAnsi="Inter"/>
          <w:color w:val="1F2937"/>
          <w:sz w:val="20"/>
          <w:szCs w:val="20"/>
        </w:rPr>
        <w:t xml:space="preserve">Utility bills are the floor, not the ceiling. Where an SEU justifies it, submeter it — that is what turns POE from an audit estimate into measurement, and what InnoSense automates.</w:t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4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Ownership and cadence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2223"/>
        <w:gridCol w:w="2320"/>
        <w:gridCol w:w="5203"/>
      </w:tblGrid>
      <w:tr>
        <w:trPr>
          <w:cantSplit/>
          <w:tblHeader/>
        </w:trPr>
        <w:tc>
          <w:tcPr>
            <w:tcW w:type="dxa" w:w="2223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When</w:t>
            </w:r>
          </w:p>
        </w:tc>
        <w:tc>
          <w:tcPr>
            <w:tcW w:type="dxa" w:w="232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Who</w:t>
            </w:r>
          </w:p>
        </w:tc>
        <w:tc>
          <w:tcPr>
            <w:tcW w:type="dxa" w:w="5203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Does</w:t>
            </w:r>
          </w:p>
        </w:tc>
      </w:tr>
      <w:tr>
        <w:trPr>
          <w:cantSplit/>
        </w:trPr>
        <w:tc>
          <w:tcPr>
            <w:tcW w:type="dxa" w:w="22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Monthly, by the [10th]</w:t>
            </w:r>
          </w:p>
        </w:tc>
        <w:tc>
          <w:tcPr>
            <w:tcW w:type="dxa" w:w="23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Data owner(s) per Section 2</w:t>
            </w:r>
          </w:p>
        </w:tc>
        <w:tc>
          <w:tcPr>
            <w:tcW w:type="dxa" w:w="520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Enter the month’s bills, generation and variable data into the tracker; file source documents</w:t>
            </w:r>
          </w:p>
        </w:tc>
      </w:tr>
      <w:tr>
        <w:trPr>
          <w:cantSplit/>
        </w:trPr>
        <w:tc>
          <w:tcPr>
            <w:tcW w:type="dxa" w:w="22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Monthly, by the [15th]</w:t>
            </w:r>
          </w:p>
        </w:tc>
        <w:tc>
          <w:tcPr>
            <w:tcW w:type="dxa" w:w="23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REM</w:t>
            </w:r>
          </w:p>
        </w:tc>
        <w:tc>
          <w:tcPr>
            <w:tcW w:type="dxa" w:w="520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Verify entries against bills; update EnPI/EEI; flag anomalies to the Committee</w:t>
            </w:r>
          </w:p>
        </w:tc>
      </w:tr>
      <w:tr>
        <w:trPr>
          <w:cantSplit/>
        </w:trPr>
        <w:tc>
          <w:tcPr>
            <w:tcW w:type="dxa" w:w="22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Quarterly (each Committee meeting)</w:t>
            </w:r>
          </w:p>
        </w:tc>
        <w:tc>
          <w:tcPr>
            <w:tcW w:type="dxa" w:w="23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Committee</w:t>
            </w:r>
          </w:p>
        </w:tc>
        <w:tc>
          <w:tcPr>
            <w:tcW w:type="dxa" w:w="520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Review consumption vs baseline and target; review data gaps and estimation flags</w:t>
            </w:r>
          </w:p>
        </w:tc>
      </w:tr>
      <w:tr>
        <w:trPr>
          <w:cantSplit/>
        </w:trPr>
        <w:tc>
          <w:tcPr>
            <w:tcW w:type="dxa" w:w="222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Annually</w:t>
            </w:r>
          </w:p>
        </w:tc>
        <w:tc>
          <w:tcPr>
            <w:tcW w:type="dxa" w:w="23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REM + Committee</w:t>
            </w:r>
          </w:p>
        </w:tc>
        <w:tc>
          <w:tcPr>
            <w:tcW w:type="dxa" w:w="520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Close the 12-month dataset for the EE&amp;C report (C12); revisit this plan and the inventory</w:t>
            </w:r>
          </w:p>
        </w:tc>
      </w:tr>
    </w:tbl>
    <w:tbl>
      <w:tblPr>
        <w:tblW w:type="dxa" w:w="9746"/>
        <w:tblBorders>
          <w:top w:val="single" w:color="E5E7EB" w:sz="4"/>
          <w:left w:val="single" w:color="00BF63" w:sz="24"/>
          <w:bottom w:val="single" w:color="E5E7EB" w:sz="4"/>
          <w:right w:val="single" w:color="E5E7EB" w:sz="4"/>
          <w:insideH w:val="none"/>
          <w:insideV w:val="none"/>
        </w:tblBorders>
      </w:tblPr>
      <w:tblGrid>
        <w:gridCol w:w="9746"/>
      </w:tblGrid>
      <w:tr>
        <w:trPr>
          <w:cantSplit/>
        </w:trPr>
        <w:tc>
          <w:tcPr>
            <w:tcW w:type="dxa" w:w="9746"/>
            <w:shd w:fill="F9FAFB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0" w:line="280"/>
              <w:jc w:val="both"/>
            </w:pPr>
            <w:r>
              <w:rPr>
                <w:rFonts w:ascii="Inter" w:cs="Inter" w:eastAsia="Inter" w:hAnsi="Inter"/>
                <w:b/>
                <w:bCs/>
                <w:color w:val="111827"/>
                <w:sz w:val="20"/>
                <w:szCs w:val="20"/>
              </w:rPr>
              <w:t xml:space="preserve">This plan is a manual system. </w:t>
            </w: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InnoSense replaces the monthly typing with metered data, continuous EnPI tracking and an always-current EE&amp;C dataset. Register interest at </w:t>
            </w:r>
            <w:r>
              <w:rPr>
                <w:rFonts w:ascii="Inter" w:cs="Inter" w:eastAsia="Inter" w:hAnsi="Inter"/>
                <w:b/>
                <w:bCs/>
                <w:color w:val="1273AD"/>
                <w:sz w:val="20"/>
                <w:szCs w:val="20"/>
              </w:rPr>
              <w:t xml:space="preserve">eeca2024.my</w:t>
            </w: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.</w:t>
            </w:r>
          </w:p>
        </w:tc>
      </w:tr>
    </w:tbl>
    <w:p>
      <w:r>
        <w:br w:type="page"/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</w:pP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The complete Starter Pack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This document is one of thirteen working documents in the EECA 2024 EnMS Starter Pack — together they stand up an energy management system that follows GP/ST/No.46/2024 and the statutory duties of Act 861.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700"/>
        <w:gridCol w:w="3300"/>
        <w:gridCol w:w="5746"/>
      </w:tblGrid>
      <w:tr>
        <w:trPr>
          <w:cantSplit/>
          <w:tblHeader/>
        </w:trPr>
        <w:tc>
          <w:tcPr>
            <w:tcW w:type="dxa" w:w="7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Code</w:t>
            </w:r>
          </w:p>
        </w:tc>
        <w:tc>
          <w:tcPr>
            <w:tcW w:type="dxa" w:w="33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Document</w:t>
            </w:r>
          </w:p>
        </w:tc>
        <w:tc>
          <w:tcPr>
            <w:tcW w:type="dxa" w:w="574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Use it to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C0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Pack Guide &amp; Compliance Clock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Orient the team; diarise the statutory deadlines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EECA EnMS Gap Assessment Checklist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Score your current position (Yes / Partial / No) against every GP46 element and statutory duty; get a readiness band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C2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Energy Management Policy Template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Draft the policy with the four GP46-mandatory commitments built in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C3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Committee &amp; Governance Kit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Appoint the management representative; constitute the Committee; run and minute the meetings and the annual management review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C4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Legal &amp; Obligations Register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Hold every Act 861 / EECR duty with citation, deadline, penalty, owner and status — the legal-compliance evaluation GP46 para. 8.2(g) expects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C5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REM Appointment Checklist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Choose internal vs external appointment; respect the tiering and the caps; manage the three-year window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C6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EnPI / EEI Worksheet (sector-selectable)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Establish the baseline and indicator — SEC path for industry, BEI path for buildings</w:t>
            </w:r>
          </w:p>
        </w:tc>
      </w:tr>
      <w:tr>
        <w:trPr>
          <w:cantSplit/>
        </w:trPr>
        <w:tc>
          <w:tcPr>
            <w:tcW w:type="dxa" w:w="700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273AD"/>
                <w:sz w:val="18"/>
                <w:szCs w:val="18"/>
              </w:rPr>
              <w:t xml:space="preserve">C7</w:t>
            </w:r>
          </w:p>
        </w:tc>
        <w:tc>
          <w:tcPr>
            <w:tcW w:type="dxa" w:w="3300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Energy Data Collection Plan + 12-Month Consumption Tracker (xlsx)</w:t>
            </w:r>
          </w:p>
        </w:tc>
        <w:tc>
          <w:tcPr>
            <w:tcW w:type="dxa" w:w="5746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Plan and record the twelve months of consumption, generation and variable data GP46 requires  </w:t>
            </w:r>
            <w:r>
              <w:rPr>
                <w:rFonts w:ascii="Inter" w:cs="Inter" w:eastAsia="Inter" w:hAnsi="Inter"/>
                <w:b/>
                <w:bCs/>
                <w:color w:val="1273AD"/>
                <w:sz w:val="16"/>
                <w:szCs w:val="16"/>
              </w:rPr>
              <w:t xml:space="preserve">(this document)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C8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Action Plan &amp; ESM Register (docx + xlsx)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Turn audit findings into a prioritised, costed, owned action plan with M&amp;V per ESM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C9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Communication, Awareness &amp; Training Plan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Discharge GP46 para. 7.7–7.9 — communication matrix, motivation strategy, training programme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C10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EnMS Self-Evaluation Matrix (xlsx)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Run the GP46 para. 5.2.3(a) maturity self-evaluation at Committee formation and periodically after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C11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Work Procedure &amp; Log Sheet Starters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Seed the operational controls — chiller plant and lighting examples to adapt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C12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EE&amp;C Report Skeleton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Assemble the annual report content in the GP45 structure before entering it in the Commission’s online system</w:t>
            </w:r>
          </w:p>
        </w:tc>
      </w:tr>
    </w:tbl>
    <w:p>
      <w:pPr>
        <w:spacing w:after="0" w:before="160"/>
        <w:jc w:val="left"/>
      </w:pPr>
      <w:r>
        <w:rPr>
          <w:rFonts w:ascii="Inter" w:cs="Inter" w:eastAsia="Inter" w:hAnsi="Inter"/>
          <w:b/>
          <w:bCs/>
          <w:color w:val="1F2937"/>
          <w:sz w:val="20"/>
          <w:szCs w:val="20"/>
        </w:rPr>
        <w:t xml:space="preserve">Get the complete pack, free:  </w:t>
      </w:r>
      <w:r>
        <w:rPr>
          <w:rFonts w:ascii="Inter" w:cs="Inter" w:eastAsia="Inter" w:hAnsi="Inter"/>
          <w:b/>
          <w:bCs/>
          <w:color w:val="1273AD"/>
          <w:sz w:val="20"/>
          <w:szCs w:val="20"/>
        </w:rPr>
        <w:t xml:space="preserve">eeca2024.my/enms-pack</w:t>
      </w:r>
      <w:r>
        <w:rPr>
          <w:rFonts w:ascii="Inter" w:cs="Inter" w:eastAsia="Inter" w:hAnsi="Inter"/>
          <w:color w:val="4B5563"/>
          <w:sz w:val="19"/>
          <w:szCs w:val="19"/>
        </w:rPr>
        <w:t xml:space="preserve">   ·   anslem@innovast.asia   ·   +60 12 355 6214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080" w:right="1080" w:bottom="1080" w:left="108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ppins">
    <w:charset w:val="00"/>
    <w:family w:val="swiss"/>
    <w:pitch w:val="variable"/>
    <w:embedRegular r:id="rIdFont1" w:fontKey="{2AE7D55D-E21C-4BA1-832E-423A9460CC57}"/>
    <w:embedBold r:id="rIdFont2" w:fontKey="{83F8DA44-1F05-41FA-A4E4-DED13F3E0390}"/>
  </w:font>
  <w:font w:name="Inter">
    <w:charset w:val="00"/>
    <w:family w:val="swiss"/>
    <w:pitch w:val="variable"/>
    <w:embedRegular r:id="rIdFont3" w:fontKey="{4AFB6A20-B28F-4712-A0E8-CB340F9A0510}"/>
    <w:embedBold r:id="rIdFont4" w:fontKey="{56B08A0A-89BB-4671-8350-B00011D3C270}"/>
    <w:embedItalic r:id="rIdFont5" w:fontKey="{FC574B7A-37D5-4A03-8F68-24793DDC2457}"/>
    <w:embedBoldItalic r:id="rIdFont6" w:fontKey="{1A680F88-5105-43C3-80EC-BEA732BF17C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3"/>
      </w:pBdr>
      <w:tabs>
        <w:tab w:val="right" w:pos="9746"/>
      </w:tabs>
      <w:spacing w:after="20"/>
    </w:pPr>
    <w:r>
      <w:rPr>
        <w:rFonts w:ascii="Inter" w:cs="Inter" w:eastAsia="Inter" w:hAnsi="Inter"/>
        <w:color w:val="6B7280"/>
        <w:sz w:val="15"/>
        <w:szCs w:val="15"/>
      </w:rPr>
      <w:t xml:space="preserve">INV-ENMS-C7 · Rev 1.0 · Draft for adaptation</w:t>
    </w:r>
    <w:r>
      <w:rPr>
        <w:rFonts w:ascii="Inter" w:cs="Inter" w:eastAsia="Inter" w:hAnsi="Inter"/>
        <w:sz w:val="15"/>
        <w:szCs w:val="15"/>
      </w:rPr>
      <w:t xml:space="preserve">	</w:t>
    </w:r>
    <w:r>
      <w:rPr>
        <w:rFonts w:ascii="Inter" w:cs="Inter" w:eastAsia="Inter" w:hAnsi="Inter"/>
        <w:color w:val="6B7280"/>
        <w:sz w:val="15"/>
        <w:szCs w:val="15"/>
      </w:rPr>
      <w:t xml:space="preserve">Page </w:t>
    </w:r>
    <w:r>
      <w:rPr>
        <w:rFonts w:ascii="Inter" w:cs="Inter" w:eastAsia="Inter" w:hAnsi="Inter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6B7280"/>
        <w:sz w:val="15"/>
        <w:szCs w:val="15"/>
      </w:rPr>
      <w:t xml:space="preserve"> of </w:t>
    </w:r>
    <w:r>
      <w:rPr>
        <w:rFonts w:ascii="Inter" w:cs="Inter" w:eastAsia="Inter" w:hAnsi="Inter"/>
        <w:color w:val="6B7280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  <w:p>
    <w:pPr>
      <w:jc w:val="center"/>
    </w:pPr>
    <w:r>
      <w:rPr>
        <w:rFonts w:ascii="Inter" w:cs="Inter" w:eastAsia="Inter" w:hAnsi="Inter"/>
        <w:color w:val="6B7280"/>
        <w:sz w:val="15"/>
        <w:szCs w:val="15"/>
      </w:rPr>
      <w:t xml:space="preserve">Innovast Sdn Bhd · Licensed ESCO · Registered with Suruhanjaya Tenaga (Energy Commission Malaysia)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6"/>
      </w:pBdr>
      <w:spacing w:after="40"/>
    </w:pPr>
    <w:r>
      <w:rPr>
        <w:rFonts w:ascii="Poppins" w:cs="Poppins" w:eastAsia="Poppins" w:hAnsi="Poppins"/>
        <w:b/>
        <w:bCs/>
        <w:color w:val="111827"/>
        <w:sz w:val="21"/>
        <w:szCs w:val="21"/>
      </w:rPr>
      <w:t xml:space="preserve">Innovast Sdn Bhd</w:t>
    </w:r>
  </w:p>
  <w:p>
    <w:pPr>
      <w:spacing w:after="20"/>
    </w:pPr>
    <w:r>
      <w:rPr>
        <w:rFonts w:ascii="Inter" w:cs="Inter" w:eastAsia="Inter" w:hAnsi="Inter"/>
        <w:color w:val="4B5563"/>
        <w:sz w:val="18"/>
        <w:szCs w:val="18"/>
      </w:rPr>
      <w:t xml:space="preserve">Licensed Energy Service Company (ESCO) · ESCO Reg. No. ESCO 327(2023)/76/2024</w:t>
    </w:r>
  </w:p>
  <w:p>
    <w:pPr>
      <w:spacing w:after="20"/>
    </w:pPr>
    <w:r>
      <w:rPr>
        <w:rFonts w:ascii="Inter" w:cs="Inter" w:eastAsia="Inter" w:hAnsi="Inter"/>
        <w:color w:val="4B5563"/>
        <w:sz w:val="18"/>
        <w:szCs w:val="18"/>
      </w:rPr>
      <w:t xml:space="preserve">Company Reg. No. 202201012221 (1457918-M) · Registered with Suruhanjaya Tenaga · SEDA Recognised</w:t>
    </w:r>
  </w:p>
  <w:p>
    <w:pPr>
      <w:spacing w:after="0"/>
    </w:pPr>
    <w:r>
      <w:rPr>
        <w:rFonts w:ascii="Inter" w:cs="Inter" w:eastAsia="Inter" w:hAnsi="Inter"/>
        <w:color w:val="1273AD"/>
        <w:sz w:val="18"/>
        <w:szCs w:val="18"/>
      </w:rPr>
      <w:t xml:space="preserve">www.innovast.asia · anslem@innovast.asia · +60 12 355 6214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5E7EB" w:sz="4" w:space="3"/>
      </w:pBdr>
      <w:tabs>
        <w:tab w:val="right" w:pos="9746"/>
      </w:tabs>
    </w:pPr>
    <w:r>
      <w:drawing>
        <wp:inline distT="0" distB="0" distL="0" distR="0">
          <wp:extent cx="85725" cy="1524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Poppins" w:cs="Poppins" w:eastAsia="Poppins" w:hAnsi="Poppins"/>
        <w:b/>
        <w:bCs/>
        <w:color w:val="6B7280"/>
        <w:sz w:val="16"/>
        <w:szCs w:val="16"/>
      </w:rPr>
      <w:t xml:space="preserve">  EECA 2024 EnMS Starter Pack</w:t>
    </w:r>
    <w:r>
      <w:rPr>
        <w:rFonts w:ascii="Inter" w:cs="Inter" w:eastAsia="Inter" w:hAnsi="Inter"/>
        <w:color w:val="6B7280"/>
        <w:sz w:val="16"/>
        <w:szCs w:val="16"/>
      </w:rPr>
      <w:t xml:space="preserve">	C7 · Energy Data Collection Plan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00"/>
      </w:pPr>
    </w:lvl>
    <w:lvl w:ilvl="1" w15:tentative="1">
      <w:start w:val="1"/>
      <w:numFmt w:val="bullet"/>
      <w:lvlText w:val="·"/>
      <w:lvlJc w:val="left"/>
      <w:pPr>
        <w:ind w:left="7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mbedTrueTypeFonts/>
  <w:saveSubsetFonts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F293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6a3225be243d0684e64ffa8d8cda75a3f659697e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 standalone="yes"?><Relationships xmlns="http://schemas.openxmlformats.org/package/2006/relationships"><Relationship Id="rIdFont1" Type="http://schemas.openxmlformats.org/officeDocument/2006/relationships/font" Target="fonts/font1.odttf"/><Relationship Id="rIdFont2" Type="http://schemas.openxmlformats.org/officeDocument/2006/relationships/font" Target="fonts/font2.odttf"/><Relationship Id="rIdFont3" Type="http://schemas.openxmlformats.org/officeDocument/2006/relationships/font" Target="fonts/font3.odttf"/><Relationship Id="rIdFont4" Type="http://schemas.openxmlformats.org/officeDocument/2006/relationships/font" Target="fonts/font4.odttf"/><Relationship Id="rIdFont5" Type="http://schemas.openxmlformats.org/officeDocument/2006/relationships/font" Target="fonts/font5.odttf"/><Relationship Id="rIdFont6" Type="http://schemas.openxmlformats.org/officeDocument/2006/relationships/font" Target="fonts/font6.odttf"/></Relationships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f7d3d510dd56c0f342def237bd02c91681dac2a.png"/></Relationships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C7 · Energy Data Collection Plan — EECA 2024 EnMS Starter Pack</dc:title>
  <dc:subject>EECA 2024 EnMS Starter Pack — draft EnMS documentation for Malaysian designated energy consumers (GP/ST/No.46/2024; Act 861; P.U.(A) 466/2024)</dc:subject>
  <dc:creator>Anslem Lim</dc:creator>
  <cp:keywords>EECA 2024, Act 861, EnMS, GP/ST/No.46/2024, energy management, Innovast, Suruhanjaya Tenaga</cp:keywords>
  <dc:description>Prepared by Innovast Sdn Bhd, Licensed ESCO (ESCO 327(2023)/76/2024). Draft for adaptation — adapt to your organisation before use; not regulatory advice.</dc:description>
  <cp:lastModifiedBy>Innovast Sdn Bhd</cp:lastModifiedBy>
  <cp:revision>1</cp:revision>
  <dcterms:created xsi:type="dcterms:W3CDTF">2026-07-29T04:16:49.693Z</dcterms:created>
  <dcterms:modified xsi:type="dcterms:W3CDTF">2026-07-29T04:16:49.693Z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