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46"/>
        <w:tblBorders>
          <w:top w:val="none"/>
          <w:left w:val="none"/>
          <w:bottom w:val="none"/>
          <w:right w:val="none"/>
          <w:insideH w:val="none"/>
          <w:insideV w:val="none"/>
        </w:tblBorders>
      </w:tblPr>
      <w:tblGrid>
        <w:gridCol w:w="8046"/>
        <w:gridCol w:w="1700"/>
      </w:tblGrid>
      <w:tr>
        <w:trPr>
          <w:cantSplit/>
          <w:trHeight w:val="80" w:hRule="exact"/>
        </w:trPr>
        <w:tc>
          <w:tcPr>
            <w:tcW w:type="dxa" w:w="8046"/>
            <w:tcBorders>
              <w:top w:val="none"/>
              <w:left w:val="none"/>
              <w:bottom w:val="none"/>
              <w:right w:val="none"/>
            </w:tcBorders>
            <w:shd w:fill="38B0F8" w:val="clear"/>
            <w:tcMar>
              <w:top w:type="dxa" w:w="0"/>
              <w:left w:type="dxa" w:w="0"/>
              <w:bottom w:type="dxa" w:w="0"/>
              <w:right w:type="dxa" w:w="0"/>
            </w:tcMar>
          </w:tcPr>
          <w:p>
            <w:pPr>
              <w:spacing w:after="0" w:line="40" w:lineRule="exact"/>
            </w:pPr>
            <w:r>
              <w:rPr>
                <w:sz w:val="2"/>
                <w:szCs w:val="2"/>
              </w:rPr>
              <w:t xml:space="preserve"/>
            </w:r>
          </w:p>
        </w:tc>
        <w:tc>
          <w:tcPr>
            <w:tcW w:type="dxa" w:w="1700"/>
            <w:tcBorders>
              <w:top w:val="none"/>
              <w:left w:val="none"/>
              <w:bottom w:val="none"/>
              <w:right w:val="none"/>
            </w:tcBorders>
            <w:shd w:fill="F89048" w:val="clear"/>
            <w:tcMar>
              <w:top w:type="dxa" w:w="0"/>
              <w:left w:type="dxa" w:w="0"/>
              <w:bottom w:type="dxa" w:w="0"/>
              <w:right w:type="dxa" w:w="0"/>
            </w:tcMar>
          </w:tcPr>
          <w:p>
            <w:pPr>
              <w:spacing w:after="0" w:line="40" w:lineRule="exact"/>
            </w:pPr>
            <w:r>
              <w:rPr>
                <w:sz w:val="2"/>
                <w:szCs w:val="2"/>
              </w:rPr>
              <w:t xml:space="preserve"/>
            </w:r>
          </w:p>
        </w:tc>
      </w:tr>
    </w:tbl>
    <w:p>
      <w:pPr>
        <w:spacing w:after="320"/>
      </w:pPr>
      <w:r>
        <w:rPr>
          <w:sz w:val="2"/>
          <w:szCs w:val="2"/>
        </w:rPr>
        <w:t xml:space="preserve"/>
      </w:r>
    </w:p>
    <w:p>
      <w:pPr>
        <w:spacing w:after="420"/>
      </w:pPr>
      <w:r>
        <w:drawing>
          <wp:inline distT="0" distB="0" distL="0" distR="0">
            <wp:extent cx="1905000" cy="485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905000" cy="485775"/>
                    </a:xfrm>
                    <a:prstGeom prst="rect">
                      <a:avLst/>
                    </a:prstGeom>
                  </pic:spPr>
                </pic:pic>
              </a:graphicData>
            </a:graphic>
          </wp:inline>
        </w:drawing>
      </w:r>
    </w:p>
    <w:p>
      <w:pPr>
        <w:spacing w:after="60" w:before="700"/>
      </w:pPr>
      <w:r>
        <w:rPr>
          <w:rFonts w:ascii="Poppins" w:cs="Poppins" w:eastAsia="Poppins" w:hAnsi="Poppins"/>
          <w:b/>
          <w:bCs/>
          <w:color w:val="F89048"/>
          <w:spacing w:val="20"/>
          <w:sz w:val="20"/>
          <w:szCs w:val="20"/>
        </w:rPr>
        <w:t xml:space="preserve">EECA 2024 EnMS STARTER PACK</w:t>
      </w:r>
    </w:p>
    <w:p>
      <w:pPr>
        <w:spacing w:after="100"/>
      </w:pPr>
      <w:r>
        <w:rPr>
          <w:rFonts w:ascii="Poppins" w:cs="Poppins" w:eastAsia="Poppins" w:hAnsi="Poppins"/>
          <w:b/>
          <w:bCs/>
          <w:color w:val="6B7280"/>
          <w:sz w:val="20"/>
          <w:szCs w:val="20"/>
        </w:rPr>
        <w:t xml:space="preserve">C6 · EnPI / EEI WORKSHEET</w:t>
      </w:r>
    </w:p>
    <w:p>
      <w:pPr>
        <w:spacing w:after="160"/>
      </w:pPr>
      <w:r>
        <w:rPr>
          <w:rFonts w:ascii="Poppins" w:cs="Poppins" w:eastAsia="Poppins" w:hAnsi="Poppins"/>
          <w:b/>
          <w:bCs/>
          <w:color w:val="111827"/>
          <w:sz w:val="52"/>
          <w:szCs w:val="52"/>
        </w:rPr>
        <w:t xml:space="preserve">EnPI / EEI Worksheet</w:t>
      </w:r>
    </w:p>
    <w:p>
      <w:pPr>
        <w:pBdr>
          <w:top w:val="single" w:color="38B0F8" w:sz="18" w:space="8"/>
        </w:pBdr>
        <w:spacing w:after="200"/>
      </w:pPr>
      <w:r>
        <w:rPr>
          <w:rFonts w:ascii="Inter" w:cs="Inter" w:eastAsia="Inter" w:hAnsi="Inter"/>
          <w:color w:val="4B5563"/>
          <w:sz w:val="24"/>
          <w:szCs w:val="24"/>
        </w:rPr>
        <w:t xml:space="preserve">Establish your energy efficiency indicator and baseline — SEC path for industry, BEI path for buildings — per GP46 para. 5.2.4 and GP45</w:t>
      </w:r>
    </w:p>
    <w:p>
      <w:pPr>
        <w:spacing w:after="360" w:line="320"/>
        <w:jc w:val="both"/>
      </w:pPr>
      <w:r>
        <w:rPr>
          <w:rFonts w:ascii="Inter" w:cs="Inter" w:eastAsia="Inter" w:hAnsi="Inter"/>
          <w:color w:val="1F2937"/>
          <w:sz w:val="20"/>
          <w:szCs w:val="20"/>
        </w:rPr>
        <w:t xml:space="preserve">GP46 requires the energy baseline to be represented through an Energy Efficiency Indicator — Specific Energy Consumption (SEC) for industry, Building Energy Intensity (BEI) for buildings — or regression analysis, with defined conditions for revision and benchmarking against peers or your own history. This worksheet walks the Committee and REM through establishing the indicator that the EE&amp;C report will then carry every year.</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2100"/>
        <w:gridCol w:w="900"/>
        <w:gridCol w:w="1750"/>
        <w:gridCol w:w="2300"/>
        <w:gridCol w:w="2696"/>
      </w:tblGrid>
      <w:tr>
        <w:trPr>
          <w:cantSplit/>
        </w:trPr>
        <w:tc>
          <w:tcPr>
            <w:tcW w:type="dxa" w:w="210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DOCUMENT NO.</w:t>
            </w:r>
          </w:p>
          <w:p>
            <w:pPr>
              <w:spacing w:after="0" w:line="240"/>
            </w:pPr>
            <w:r>
              <w:rPr>
                <w:rFonts w:ascii="Inter" w:cs="Inter" w:eastAsia="Inter" w:hAnsi="Inter"/>
                <w:color w:val="111827"/>
                <w:sz w:val="18"/>
                <w:szCs w:val="18"/>
              </w:rPr>
              <w:t xml:space="preserve">INV-ENMS-C6</w:t>
            </w:r>
          </w:p>
        </w:tc>
        <w:tc>
          <w:tcPr>
            <w:tcW w:type="dxa" w:w="90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REV</w:t>
            </w:r>
          </w:p>
          <w:p>
            <w:pPr>
              <w:spacing w:after="0" w:line="240"/>
            </w:pPr>
            <w:r>
              <w:rPr>
                <w:rFonts w:ascii="Inter" w:cs="Inter" w:eastAsia="Inter" w:hAnsi="Inter"/>
                <w:color w:val="111827"/>
                <w:sz w:val="18"/>
                <w:szCs w:val="18"/>
              </w:rPr>
              <w:t xml:space="preserve">1.0</w:t>
            </w:r>
          </w:p>
        </w:tc>
        <w:tc>
          <w:tcPr>
            <w:tcW w:type="dxa" w:w="175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ISSUE DATE</w:t>
            </w:r>
          </w:p>
          <w:p>
            <w:pPr>
              <w:spacing w:after="0" w:line="240"/>
            </w:pPr>
            <w:r>
              <w:rPr>
                <w:rFonts w:ascii="Inter" w:cs="Inter" w:eastAsia="Inter" w:hAnsi="Inter"/>
                <w:color w:val="111827"/>
                <w:sz w:val="18"/>
                <w:szCs w:val="18"/>
              </w:rPr>
              <w:t xml:space="preserve">29 July 2026</w:t>
            </w:r>
          </w:p>
        </w:tc>
        <w:tc>
          <w:tcPr>
            <w:tcW w:type="dxa" w:w="230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PREPARED BY</w:t>
            </w:r>
          </w:p>
          <w:p>
            <w:pPr>
              <w:spacing w:after="0" w:line="240"/>
            </w:pPr>
            <w:r>
              <w:rPr>
                <w:rFonts w:ascii="Inter" w:cs="Inter" w:eastAsia="Inter" w:hAnsi="Inter"/>
                <w:color w:val="111827"/>
                <w:sz w:val="18"/>
                <w:szCs w:val="18"/>
              </w:rPr>
              <w:t xml:space="preserve">Innovast Sdn Bhd</w:t>
            </w:r>
          </w:p>
        </w:tc>
        <w:tc>
          <w:tcPr>
            <w:tcW w:type="dxa" w:w="2696"/>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APPROVED BY</w:t>
            </w:r>
          </w:p>
          <w:p>
            <w:pPr>
              <w:spacing w:after="0" w:line="240"/>
            </w:pPr>
            <w:r>
              <w:rPr>
                <w:rFonts w:ascii="Inter" w:cs="Inter" w:eastAsia="Inter" w:hAnsi="Inter"/>
                <w:color w:val="111827"/>
                <w:sz w:val="18"/>
                <w:szCs w:val="18"/>
              </w:rPr>
              <w:t xml:space="preserve">Anslem Lim, CEO</w:t>
            </w:r>
          </w:p>
        </w:tc>
      </w:tr>
    </w:tbl>
    <w:p>
      <w:pPr>
        <w:spacing w:after="260" w:before="80"/>
        <w:jc w:val="both"/>
      </w:pPr>
      <w:r>
        <w:rPr>
          <w:rFonts w:ascii="Inter" w:cs="Inter" w:eastAsia="Inter" w:hAnsi="Inter"/>
          <w:i/>
          <w:iCs/>
          <w:color w:val="6B7280"/>
          <w:sz w:val="16"/>
          <w:szCs w:val="16"/>
        </w:rPr>
        <w:t xml:space="preserve">Rev 1.0 · issued 29 July 2026 · regulatory sources last verified 18 July 2026.</w:t>
      </w:r>
    </w:p>
    <w:tbl>
      <w:tblPr>
        <w:tblW w:type="dxa" w:w="9746"/>
        <w:tblBorders>
          <w:top w:val="single" w:color="E5E7EB" w:sz="4"/>
          <w:left w:val="single" w:color="F89048" w:sz="24"/>
          <w:bottom w:val="single" w:color="E5E7EB" w:sz="4"/>
          <w:right w:val="single" w:color="E5E7EB" w:sz="4"/>
          <w:insideH w:val="none"/>
          <w:insideV w:val="none"/>
        </w:tblBorders>
      </w:tblPr>
      <w:tblGrid>
        <w:gridCol w:w="9746"/>
      </w:tblGrid>
      <w:tr>
        <w:trPr>
          <w:cantSplit/>
        </w:trPr>
        <w:tc>
          <w:tcPr>
            <w:tcW w:type="dxa" w:w="9746"/>
            <w:shd w:fill="F9FAFB" w:val="clear"/>
            <w:tcMar>
              <w:top w:type="dxa" w:w="140"/>
              <w:left w:type="dxa" w:w="200"/>
              <w:bottom w:type="dxa" w:w="140"/>
              <w:right w:type="dxa" w:w="200"/>
            </w:tcMar>
          </w:tcPr>
          <w:p>
            <w:pPr>
              <w:spacing w:after="0" w:line="260"/>
              <w:jc w:val="both"/>
            </w:pPr>
            <w:r>
              <w:rPr>
                <w:rFonts w:ascii="Inter" w:cs="Inter" w:eastAsia="Inter" w:hAnsi="Inter"/>
                <w:b/>
                <w:bCs/>
                <w:color w:val="111827"/>
                <w:sz w:val="18"/>
                <w:szCs w:val="18"/>
              </w:rPr>
              <w:t xml:space="preserve">DRAFT FOR ADAPTATION</w:t>
            </w:r>
            <w:r>
              <w:rPr>
                <w:rFonts w:ascii="Inter" w:cs="Inter" w:eastAsia="Inter" w:hAnsi="Inter"/>
                <w:color w:val="4B5563"/>
                <w:sz w:val="18"/>
                <w:szCs w:val="18"/>
              </w:rPr>
              <w:t xml:space="preserve"> — this template is not regulatory advice. Prepared with reference to GP/ST/No.46/2024 (Guidelines on Energy Management System), the Energy Efficiency and Conservation Act 2024 [Act 861] and the Energy Efficiency and Conservation Regulations 2024 [P.U.(A) 466/2024]; sources last verified 18 July 2026. Adapt every field to your organisation before use. Only Suruhanjaya Tenaga can determine compliance with the Act.</w:t>
            </w:r>
          </w:p>
        </w:tc>
      </w:tr>
    </w:tbl>
    <w:p>
      <w:r>
        <w:br w:type="page"/>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1</w:t>
      </w:r>
      <w:r>
        <w:rPr>
          <w:rFonts w:ascii="Poppins" w:cs="Poppins" w:eastAsia="Poppins" w:hAnsi="Poppins"/>
          <w:sz w:val="30"/>
          <w:szCs w:val="30"/>
        </w:rPr>
        <w:tab/>
      </w:r>
      <w:r>
        <w:rPr>
          <w:rFonts w:ascii="Poppins" w:cs="Poppins" w:eastAsia="Poppins" w:hAnsi="Poppins"/>
          <w:b/>
          <w:bCs/>
          <w:color w:val="111827"/>
          <w:sz w:val="30"/>
          <w:szCs w:val="30"/>
        </w:rPr>
        <w:t xml:space="preserve">Choose your path</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3480"/>
        <w:gridCol w:w="3770"/>
        <w:gridCol w:w="2496"/>
      </w:tblGrid>
      <w:tr>
        <w:trPr>
          <w:cantSplit/>
          <w:tblHeader/>
        </w:trPr>
        <w:tc>
          <w:tcPr>
            <w:tcW w:type="dxa" w:w="348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Your facility</w:t>
            </w:r>
          </w:p>
        </w:tc>
        <w:tc>
          <w:tcPr>
            <w:tcW w:type="dxa" w:w="377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Indicator</w:t>
            </w:r>
          </w:p>
        </w:tc>
        <w:tc>
          <w:tcPr>
            <w:tcW w:type="dxa" w:w="2496"/>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Path</w:t>
            </w:r>
          </w:p>
        </w:tc>
      </w:tr>
      <w:tr>
        <w:trPr>
          <w:cantSplit/>
        </w:trPr>
        <w:tc>
          <w:tcPr>
            <w:tcW w:type="dxa" w:w="348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Manufacturing plant / industrial facility</w:t>
            </w:r>
          </w:p>
        </w:tc>
        <w:tc>
          <w:tcPr>
            <w:tcW w:type="dxa" w:w="377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SEC — energy per unit of output, with POE allocation across products</w:t>
            </w:r>
          </w:p>
        </w:tc>
        <w:tc>
          <w:tcPr>
            <w:tcW w:type="dxa" w:w="249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Section 2</w:t>
            </w:r>
          </w:p>
        </w:tc>
      </w:tr>
      <w:tr>
        <w:trPr>
          <w:cantSplit/>
        </w:trPr>
        <w:tc>
          <w:tcPr>
            <w:tcW w:type="dxa" w:w="348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Office, mall, hotel, hospital, campus, data centre or other building</w:t>
            </w:r>
          </w:p>
        </w:tc>
        <w:tc>
          <w:tcPr>
            <w:tcW w:type="dxa" w:w="377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BEI — annual energy per m² of gross floor area; EIP factors in the Commission’s online system</w:t>
            </w:r>
          </w:p>
        </w:tc>
        <w:tc>
          <w:tcPr>
            <w:tcW w:type="dxa" w:w="249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Section 3</w:t>
            </w:r>
          </w:p>
        </w:tc>
      </w:tr>
      <w:tr>
        <w:trPr>
          <w:cantSplit/>
        </w:trPr>
        <w:tc>
          <w:tcPr>
            <w:tcW w:type="dxa" w:w="348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Mixed site (e.g. plant with large office block)</w:t>
            </w:r>
          </w:p>
        </w:tc>
        <w:tc>
          <w:tcPr>
            <w:tcW w:type="dxa" w:w="377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SEC for the production boundary + BEI for the building boundary; report per the dominant sector classification</w:t>
            </w:r>
          </w:p>
        </w:tc>
        <w:tc>
          <w:tcPr>
            <w:tcW w:type="dxa" w:w="249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Sections 2 + 3 — flag to your REM</w:t>
            </w:r>
          </w:p>
        </w:tc>
      </w:tr>
    </w:tbl>
    <w:p>
      <w:pPr>
        <w:spacing w:after="140" w:line="300"/>
        <w:jc w:val="both"/>
      </w:pPr>
      <w:r>
        <w:rPr>
          <w:rFonts w:ascii="Inter" w:cs="Inter" w:eastAsia="Inter" w:hAnsi="Inter"/>
          <w:color w:val="1F2937"/>
          <w:sz w:val="20"/>
          <w:szCs w:val="20"/>
        </w:rPr>
        <w:t xml:space="preserve">Whichever path: the boundary is the </w:t>
      </w:r>
      <w:r>
        <w:rPr>
          <w:rFonts w:ascii="Inter" w:cs="Inter" w:eastAsia="Inter" w:hAnsi="Inter"/>
          <w:b/>
          <w:bCs/>
          <w:color w:val="1F2937"/>
          <w:sz w:val="20"/>
          <w:szCs w:val="20"/>
        </w:rPr>
        <w:t xml:space="preserve">whole facility</w:t>
      </w:r>
      <w:r>
        <w:rPr>
          <w:rFonts w:ascii="Inter" w:cs="Inter" w:eastAsia="Inter" w:hAnsi="Inter"/>
          <w:color w:val="1F2937"/>
          <w:sz w:val="20"/>
          <w:szCs w:val="20"/>
        </w:rPr>
        <w:t xml:space="preserve"> (GP46 para. 5.2.4(a)), the dataset is </w:t>
      </w:r>
      <w:r>
        <w:rPr>
          <w:rFonts w:ascii="Inter" w:cs="Inter" w:eastAsia="Inter" w:hAnsi="Inter"/>
          <w:b/>
          <w:bCs/>
          <w:color w:val="1F2937"/>
          <w:sz w:val="20"/>
          <w:szCs w:val="20"/>
        </w:rPr>
        <w:t xml:space="preserve">at least twelve consecutive months</w:t>
      </w:r>
      <w:r>
        <w:rPr>
          <w:rFonts w:ascii="Inter" w:cs="Inter" w:eastAsia="Inter" w:hAnsi="Inter"/>
          <w:color w:val="1F2937"/>
          <w:sz w:val="20"/>
          <w:szCs w:val="20"/>
        </w:rPr>
        <w:t xml:space="preserve"> of the most recent consumption (GP46 para. 5.2.4(b)(ii)), and the sector/subsector classification follows GP45 Appendix B as presented in the Commission’s online system.</w:t>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2</w:t>
      </w:r>
      <w:r>
        <w:rPr>
          <w:rFonts w:ascii="Poppins" w:cs="Poppins" w:eastAsia="Poppins" w:hAnsi="Poppins"/>
          <w:sz w:val="30"/>
          <w:szCs w:val="30"/>
        </w:rPr>
        <w:tab/>
      </w:r>
      <w:r>
        <w:rPr>
          <w:rFonts w:ascii="Poppins" w:cs="Poppins" w:eastAsia="Poppins" w:hAnsi="Poppins"/>
          <w:b/>
          <w:bCs/>
          <w:color w:val="111827"/>
          <w:sz w:val="30"/>
          <w:szCs w:val="30"/>
        </w:rPr>
        <w:t xml:space="preserve">Path A — Industry: SEC</w:t>
      </w:r>
    </w:p>
    <w:p>
      <w:pPr>
        <w:keepNext/>
        <w:keepLines/>
        <w:spacing w:after="100" w:before="200"/>
      </w:pPr>
      <w:r>
        <w:rPr>
          <w:rFonts w:ascii="Poppins" w:cs="Poppins" w:eastAsia="Poppins" w:hAnsi="Poppins"/>
          <w:b/>
          <w:bCs/>
          <w:color w:val="111827"/>
          <w:sz w:val="21"/>
          <w:szCs w:val="21"/>
        </w:rPr>
        <w:t xml:space="preserve">2.1  Definitions (GP45 para. 4.1.6)</w:t>
      </w:r>
    </w:p>
    <w:p>
      <w:pPr>
        <w:pStyle w:val="ListParagraph"/>
        <w:numPr>
          <w:ilvl w:val="0"/>
          <w:numId w:val="2"/>
        </w:numPr>
        <w:spacing w:after="90" w:line="290"/>
        <w:jc w:val="both"/>
      </w:pPr>
      <w:r>
        <w:rPr>
          <w:rFonts w:ascii="Inter" w:cs="Inter" w:eastAsia="Inter" w:hAnsi="Inter"/>
          <w:b/>
          <w:bCs/>
          <w:color w:val="1F2937"/>
          <w:sz w:val="20"/>
          <w:szCs w:val="20"/>
        </w:rPr>
        <w:t xml:space="preserve">SEC</w:t>
      </w:r>
      <w:r>
        <w:rPr>
          <w:rFonts w:ascii="Inter" w:cs="Inter" w:eastAsia="Inter" w:hAnsi="Inter"/>
          <w:color w:val="1F2937"/>
          <w:sz w:val="20"/>
          <w:szCs w:val="20"/>
        </w:rPr>
        <w:t xml:space="preserve"> — the amount of energy consumed per unit of output or activity in a specific process, system or sector. The calculation includes energy used in production areas </w:t>
      </w:r>
      <w:r>
        <w:rPr>
          <w:rFonts w:ascii="Inter" w:cs="Inter" w:eastAsia="Inter" w:hAnsi="Inter"/>
          <w:b/>
          <w:bCs/>
          <w:color w:val="1F2937"/>
          <w:sz w:val="20"/>
          <w:szCs w:val="20"/>
        </w:rPr>
        <w:t xml:space="preserve">and</w:t>
      </w:r>
      <w:r>
        <w:rPr>
          <w:rFonts w:ascii="Inter" w:cs="Inter" w:eastAsia="Inter" w:hAnsi="Inter"/>
          <w:color w:val="1F2937"/>
          <w:sz w:val="20"/>
          <w:szCs w:val="20"/>
        </w:rPr>
        <w:t xml:space="preserve"> non-production areas (offices, common facilities) within the premise (GP45 para. 4.1.6.5).</w:t>
      </w:r>
    </w:p>
    <w:p>
      <w:pPr>
        <w:pStyle w:val="ListParagraph"/>
        <w:numPr>
          <w:ilvl w:val="0"/>
          <w:numId w:val="2"/>
        </w:numPr>
        <w:spacing w:after="90" w:line="290"/>
        <w:jc w:val="both"/>
      </w:pPr>
      <w:r>
        <w:rPr>
          <w:rFonts w:ascii="Inter" w:cs="Inter" w:eastAsia="Inter" w:hAnsi="Inter"/>
          <w:b/>
          <w:bCs/>
          <w:color w:val="1F2937"/>
          <w:sz w:val="20"/>
          <w:szCs w:val="20"/>
        </w:rPr>
        <w:t xml:space="preserve">POE</w:t>
      </w:r>
      <w:r>
        <w:rPr>
          <w:rFonts w:ascii="Inter" w:cs="Inter" w:eastAsia="Inter" w:hAnsi="Inter"/>
          <w:color w:val="1F2937"/>
          <w:sz w:val="20"/>
          <w:szCs w:val="20"/>
        </w:rPr>
        <w:t xml:space="preserve"> — Percentage Of Energy: the fraction of the month’s total energy consumption attributed to each product, in percent. One product → POE = 100%. Multiple products → the POEs must sum to 100% each month (GP45 para. 4.1.6.2). POE may be determined from submetering or from the energy audit (GP45 para. 4.1.6.3).</w:t>
      </w:r>
    </w:p>
    <w:p>
      <w:pPr>
        <w:spacing w:after="140" w:line="300"/>
        <w:jc w:val="both"/>
      </w:pPr>
      <w:r>
        <w:rPr>
          <w:rFonts w:ascii="Inter" w:cs="Inter" w:eastAsia="Inter" w:hAnsi="Inter"/>
          <w:color w:val="1F2937"/>
          <w:sz w:val="20"/>
          <w:szCs w:val="20"/>
        </w:rPr>
        <w:t xml:space="preserve">Monthly SEC for a product  =  (E × POE/100) ÷ P,  where E = total energy consumed in the month and P = production quantity of that product in the month (GP45 Equation 1). The Commission’s online system computes SEC automatically from your reported consumption, production and POE; compute it here first so you know your number before it does.</w:t>
      </w:r>
    </w:p>
    <w:p>
      <w:pPr>
        <w:keepNext/>
        <w:keepLines/>
        <w:spacing w:after="100" w:before="200"/>
      </w:pPr>
      <w:r>
        <w:rPr>
          <w:rFonts w:ascii="Poppins" w:cs="Poppins" w:eastAsia="Poppins" w:hAnsi="Poppins"/>
          <w:b/>
          <w:bCs/>
          <w:color w:val="111827"/>
          <w:sz w:val="21"/>
          <w:szCs w:val="21"/>
        </w:rPr>
        <w:t xml:space="preserve">2.2  Worksheet</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2600"/>
        <w:gridCol w:w="2273"/>
        <w:gridCol w:w="2600"/>
        <w:gridCol w:w="2273"/>
      </w:tblGrid>
      <w:tr>
        <w:trPr>
          <w:cantSplit/>
        </w:trPr>
        <w:tc>
          <w:tcPr>
            <w:tcW w:type="dxa" w:w="26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Facility / premise:</w:t>
            </w:r>
          </w:p>
        </w:tc>
        <w:tc>
          <w:tcPr>
            <w:tcW w:type="dxa" w:w="2273"/>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26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Baseline period (12 months):</w:t>
            </w:r>
          </w:p>
        </w:tc>
        <w:tc>
          <w:tcPr>
            <w:tcW w:type="dxa" w:w="2273"/>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26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Sector / subsector (GP45 App. B):</w:t>
            </w:r>
          </w:p>
        </w:tc>
        <w:tc>
          <w:tcPr>
            <w:tcW w:type="dxa" w:w="2273"/>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26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Prepared by (REM):</w:t>
            </w:r>
          </w:p>
        </w:tc>
        <w:tc>
          <w:tcPr>
            <w:tcW w:type="dxa" w:w="2273"/>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bl>
    <w:p>
      <w:pPr>
        <w:spacing w:after="60" w:line="60" w:lineRule="exact"/>
      </w:pPr>
      <w:r>
        <w:rPr>
          <w:sz w:val="2"/>
          <w:szCs w:val="2"/>
        </w:rPr>
        <w:t xml:space="preserve"/>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1643"/>
        <w:gridCol w:w="1450"/>
        <w:gridCol w:w="1643"/>
        <w:gridCol w:w="773"/>
        <w:gridCol w:w="1450"/>
        <w:gridCol w:w="1450"/>
        <w:gridCol w:w="1337"/>
      </w:tblGrid>
      <w:tr>
        <w:trPr>
          <w:cantSplit/>
          <w:tblHeader/>
        </w:trPr>
        <w:tc>
          <w:tcPr>
            <w:tcW w:type="dxa" w:w="1643"/>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Product</w:t>
            </w:r>
          </w:p>
        </w:tc>
        <w:tc>
          <w:tcPr>
            <w:tcW w:type="dxa" w:w="145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Unit of measurement (UOM)</w:t>
            </w:r>
          </w:p>
        </w:tc>
        <w:tc>
          <w:tcPr>
            <w:tcW w:type="dxa" w:w="1643"/>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POE basis (submeter / audit)</w:t>
            </w:r>
          </w:p>
        </w:tc>
        <w:tc>
          <w:tcPr>
            <w:tcW w:type="dxa" w:w="773"/>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POE %</w:t>
            </w:r>
          </w:p>
        </w:tc>
        <w:tc>
          <w:tcPr>
            <w:tcW w:type="dxa" w:w="145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Annual production</w:t>
            </w:r>
          </w:p>
        </w:tc>
        <w:tc>
          <w:tcPr>
            <w:tcW w:type="dxa" w:w="145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Annual energy share (GJ)</w:t>
            </w:r>
          </w:p>
        </w:tc>
        <w:tc>
          <w:tcPr>
            <w:tcW w:type="dxa" w:w="1337"/>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SEC (GJ/UOM)</w:t>
            </w:r>
          </w:p>
        </w:tc>
      </w:tr>
      <w:tr>
        <w:trPr>
          <w:cantSplit/>
        </w:trPr>
        <w:tc>
          <w:tcPr>
            <w:tcW w:type="dxa" w:w="1643"/>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c>
          <w:tcPr>
            <w:tcW w:type="dxa" w:w="145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c>
          <w:tcPr>
            <w:tcW w:type="dxa" w:w="1643"/>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c>
          <w:tcPr>
            <w:tcW w:type="dxa" w:w="773"/>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c>
          <w:tcPr>
            <w:tcW w:type="dxa" w:w="145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c>
          <w:tcPr>
            <w:tcW w:type="dxa" w:w="145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c>
          <w:tcPr>
            <w:tcW w:type="dxa" w:w="1337"/>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1643"/>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c>
          <w:tcPr>
            <w:tcW w:type="dxa" w:w="145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c>
          <w:tcPr>
            <w:tcW w:type="dxa" w:w="1643"/>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c>
          <w:tcPr>
            <w:tcW w:type="dxa" w:w="773"/>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c>
          <w:tcPr>
            <w:tcW w:type="dxa" w:w="145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c>
          <w:tcPr>
            <w:tcW w:type="dxa" w:w="145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c>
          <w:tcPr>
            <w:tcW w:type="dxa" w:w="1337"/>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1643"/>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c>
          <w:tcPr>
            <w:tcW w:type="dxa" w:w="145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c>
          <w:tcPr>
            <w:tcW w:type="dxa" w:w="1643"/>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c>
          <w:tcPr>
            <w:tcW w:type="dxa" w:w="773"/>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c>
          <w:tcPr>
            <w:tcW w:type="dxa" w:w="145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c>
          <w:tcPr>
            <w:tcW w:type="dxa" w:w="145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c>
          <w:tcPr>
            <w:tcW w:type="dxa" w:w="1337"/>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bl>
    <w:p>
      <w:pPr>
        <w:spacing w:after="160"/>
        <w:jc w:val="left"/>
      </w:pPr>
      <w:r>
        <w:rPr>
          <w:rFonts w:ascii="Inter" w:cs="Inter" w:eastAsia="Inter" w:hAnsi="Inter"/>
          <w:i/>
          <w:iCs/>
          <w:color w:val="6B7280"/>
          <w:sz w:val="18"/>
          <w:szCs w:val="18"/>
        </w:rPr>
        <w:t xml:space="preserve">Enter one row per product. POE column must total 100. Use the C7 tracker for the monthly detail behind this summary — monthly SEC is where the story lives; the annual figure smooths it away.</w:t>
      </w:r>
    </w:p>
    <w:p>
      <w:pPr>
        <w:keepNext/>
        <w:keepLines/>
        <w:spacing w:after="100" w:before="200"/>
      </w:pPr>
      <w:r>
        <w:rPr>
          <w:rFonts w:ascii="Poppins" w:cs="Poppins" w:eastAsia="Poppins" w:hAnsi="Poppins"/>
          <w:b/>
          <w:bCs/>
          <w:color w:val="111827"/>
          <w:sz w:val="21"/>
          <w:szCs w:val="21"/>
        </w:rPr>
        <w:t xml:space="preserve">2.3  Variable data to record alongside (GP45 para. 4.1.7)</w:t>
      </w:r>
    </w:p>
    <w:p>
      <w:pPr>
        <w:spacing w:after="140" w:line="300"/>
        <w:jc w:val="both"/>
      </w:pPr>
      <w:r>
        <w:rPr>
          <w:rFonts w:ascii="Inter" w:cs="Inter" w:eastAsia="Inter" w:hAnsi="Inter"/>
          <w:color w:val="1F2937"/>
          <w:sz w:val="20"/>
          <w:szCs w:val="20"/>
        </w:rPr>
        <w:t xml:space="preserve">Factors other than production that move your consumption — record them monthly in the C7 tracker so regression and normalisation are possible later: operating hours, number of shifts, shutdown days, cooling degree days, major maintenance events. For the industry sector, any variable data other than production may be reported (GP45 para. 4.1.7.7).</w:t>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3</w:t>
      </w:r>
      <w:r>
        <w:rPr>
          <w:rFonts w:ascii="Poppins" w:cs="Poppins" w:eastAsia="Poppins" w:hAnsi="Poppins"/>
          <w:sz w:val="30"/>
          <w:szCs w:val="30"/>
        </w:rPr>
        <w:tab/>
      </w:r>
      <w:r>
        <w:rPr>
          <w:rFonts w:ascii="Poppins" w:cs="Poppins" w:eastAsia="Poppins" w:hAnsi="Poppins"/>
          <w:b/>
          <w:bCs/>
          <w:color w:val="111827"/>
          <w:sz w:val="30"/>
          <w:szCs w:val="30"/>
        </w:rPr>
        <w:t xml:space="preserve">Path B — Buildings: BEI</w:t>
      </w:r>
    </w:p>
    <w:p>
      <w:pPr>
        <w:keepNext/>
        <w:keepLines/>
        <w:spacing w:after="100" w:before="200"/>
      </w:pPr>
      <w:r>
        <w:rPr>
          <w:rFonts w:ascii="Poppins" w:cs="Poppins" w:eastAsia="Poppins" w:hAnsi="Poppins"/>
          <w:b/>
          <w:bCs/>
          <w:color w:val="111827"/>
          <w:sz w:val="21"/>
          <w:szCs w:val="21"/>
        </w:rPr>
        <w:t xml:space="preserve">3.1  Definitions</w:t>
      </w:r>
    </w:p>
    <w:p>
      <w:pPr>
        <w:pStyle w:val="ListParagraph"/>
        <w:numPr>
          <w:ilvl w:val="0"/>
          <w:numId w:val="2"/>
        </w:numPr>
        <w:spacing w:after="90" w:line="290"/>
        <w:jc w:val="both"/>
      </w:pPr>
      <w:r>
        <w:rPr>
          <w:rFonts w:ascii="Inter" w:cs="Inter" w:eastAsia="Inter" w:hAnsi="Inter"/>
          <w:b/>
          <w:bCs/>
          <w:color w:val="1F2937"/>
          <w:sz w:val="20"/>
          <w:szCs w:val="20"/>
        </w:rPr>
        <w:t xml:space="preserve">BEI</w:t>
      </w:r>
      <w:r>
        <w:rPr>
          <w:rFonts w:ascii="Inter" w:cs="Inter" w:eastAsia="Inter" w:hAnsi="Inter"/>
          <w:color w:val="1F2937"/>
          <w:sz w:val="20"/>
          <w:szCs w:val="20"/>
        </w:rPr>
        <w:t xml:space="preserve"> — Building Energy Intensity: annual energy use per Gross Floor Area, kWh/m²/year (GP46 para. 5.2.4(c)(i)(A)).</w:t>
      </w:r>
    </w:p>
    <w:p>
      <w:pPr>
        <w:pStyle w:val="ListParagraph"/>
        <w:numPr>
          <w:ilvl w:val="0"/>
          <w:numId w:val="2"/>
        </w:numPr>
        <w:spacing w:after="90" w:line="290"/>
        <w:jc w:val="both"/>
      </w:pPr>
      <w:r>
        <w:rPr>
          <w:rFonts w:ascii="Inter" w:cs="Inter" w:eastAsia="Inter" w:hAnsi="Inter"/>
          <w:b/>
          <w:bCs/>
          <w:color w:val="1F2937"/>
          <w:sz w:val="20"/>
          <w:szCs w:val="20"/>
        </w:rPr>
        <w:t xml:space="preserve">GFA</w:t>
      </w:r>
      <w:r>
        <w:rPr>
          <w:rFonts w:ascii="Inter" w:cs="Inter" w:eastAsia="Inter" w:hAnsi="Inter"/>
          <w:color w:val="1F2937"/>
          <w:sz w:val="20"/>
          <w:szCs w:val="20"/>
        </w:rPr>
        <w:t xml:space="preserve"> — per GP45 para. 2: the total floor space measured between the external sides of walls (party walls to centres), excluding parking and its M&amp;E spaces, external covered parking, staircases and lift shafts above ground/lobby, commercial-vehicle waiting areas, rooftop/podium gardens and recreation in open or semi-open spaces, and pedestrian pathways. Compute GFA once, document the workings, and reuse it consistently.</w:t>
      </w:r>
    </w:p>
    <w:p>
      <w:pPr>
        <w:pStyle w:val="ListParagraph"/>
        <w:numPr>
          <w:ilvl w:val="0"/>
          <w:numId w:val="2"/>
        </w:numPr>
        <w:spacing w:after="90" w:line="290"/>
        <w:jc w:val="both"/>
      </w:pPr>
      <w:r>
        <w:rPr>
          <w:rFonts w:ascii="Inter" w:cs="Inter" w:eastAsia="Inter" w:hAnsi="Inter"/>
          <w:b/>
          <w:bCs/>
          <w:color w:val="1F2937"/>
          <w:sz w:val="20"/>
          <w:szCs w:val="20"/>
        </w:rPr>
        <w:t xml:space="preserve">EIP</w:t>
      </w:r>
      <w:r>
        <w:rPr>
          <w:rFonts w:ascii="Inter" w:cs="Inter" w:eastAsia="Inter" w:hAnsi="Inter"/>
          <w:color w:val="1F2937"/>
          <w:sz w:val="20"/>
          <w:szCs w:val="20"/>
        </w:rPr>
        <w:t xml:space="preserve"> — Energy Intensity Performance: the Commission’s method associating building energy consumption with its drivers (GFA, data centre IT load, occupancy rate, hospital beds, hotel rooms). The variable data used is determined by the Commission in the online system (GP45 para. 4.1.8.3); your job is to hold clean monthly values for each driver.</w:t>
      </w:r>
    </w:p>
    <w:p>
      <w:pPr>
        <w:keepNext/>
        <w:keepLines/>
        <w:spacing w:after="100" w:before="200"/>
      </w:pPr>
      <w:r>
        <w:rPr>
          <w:rFonts w:ascii="Poppins" w:cs="Poppins" w:eastAsia="Poppins" w:hAnsi="Poppins"/>
          <w:b/>
          <w:bCs/>
          <w:color w:val="111827"/>
          <w:sz w:val="21"/>
          <w:szCs w:val="21"/>
        </w:rPr>
        <w:t xml:space="preserve">3.2  Worksheet</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2513"/>
        <w:gridCol w:w="2359"/>
        <w:gridCol w:w="2513"/>
        <w:gridCol w:w="2361"/>
      </w:tblGrid>
      <w:tr>
        <w:trPr>
          <w:cantSplit/>
        </w:trPr>
        <w:tc>
          <w:tcPr>
            <w:tcW w:type="dxa" w:w="2513"/>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Building:</w:t>
            </w:r>
          </w:p>
        </w:tc>
        <w:tc>
          <w:tcPr>
            <w:tcW w:type="dxa" w:w="235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2513"/>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Baseline period (12 months):</w:t>
            </w:r>
          </w:p>
        </w:tc>
        <w:tc>
          <w:tcPr>
            <w:tcW w:type="dxa" w:w="2361"/>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2513"/>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Sector / subsector (GP45 App. B):</w:t>
            </w:r>
          </w:p>
        </w:tc>
        <w:tc>
          <w:tcPr>
            <w:tcW w:type="dxa" w:w="235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2513"/>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Prepared by (REM):</w:t>
            </w:r>
          </w:p>
        </w:tc>
        <w:tc>
          <w:tcPr>
            <w:tcW w:type="dxa" w:w="2361"/>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bl>
    <w:p>
      <w:pPr>
        <w:spacing w:after="60" w:line="60" w:lineRule="exact"/>
      </w:pPr>
      <w:r>
        <w:rPr>
          <w:sz w:val="2"/>
          <w:szCs w:val="2"/>
        </w:rPr>
        <w:t xml:space="preserve"/>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4640"/>
        <w:gridCol w:w="2262"/>
        <w:gridCol w:w="2844"/>
      </w:tblGrid>
      <w:tr>
        <w:trPr>
          <w:cantSplit/>
          <w:tblHeader/>
        </w:trPr>
        <w:tc>
          <w:tcPr>
            <w:tcW w:type="dxa" w:w="464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Item</w:t>
            </w:r>
          </w:p>
        </w:tc>
        <w:tc>
          <w:tcPr>
            <w:tcW w:type="dxa" w:w="2262"/>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Value</w:t>
            </w:r>
          </w:p>
        </w:tc>
        <w:tc>
          <w:tcPr>
            <w:tcW w:type="dxa" w:w="2844"/>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Basis / source</w:t>
            </w:r>
          </w:p>
        </w:tc>
      </w:tr>
      <w:tr>
        <w:trPr>
          <w:cantSplit/>
        </w:trPr>
        <w:tc>
          <w:tcPr>
            <w:tcW w:type="dxa" w:w="4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Gross floor area, GFA (m²) — per the GP45 exclusions</w:t>
            </w:r>
          </w:p>
        </w:tc>
        <w:tc>
          <w:tcPr>
            <w:tcW w:type="dxa" w:w="226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284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As-built drawings ref: </w:t>
            </w:r>
          </w:p>
        </w:tc>
      </w:tr>
      <w:tr>
        <w:trPr>
          <w:cantSplit/>
        </w:trPr>
        <w:tc>
          <w:tcPr>
            <w:tcW w:type="dxa" w:w="4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Air-conditioned area (m²)</w:t>
            </w:r>
          </w:p>
        </w:tc>
        <w:tc>
          <w:tcPr>
            <w:tcW w:type="dxa" w:w="226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284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4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Data centre area (m²) and IT equipment energy (kWh/yr), if any</w:t>
            </w:r>
          </w:p>
        </w:tc>
        <w:tc>
          <w:tcPr>
            <w:tcW w:type="dxa" w:w="226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284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4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Enclosed parking area (m²) / external corridor area (m²)</w:t>
            </w:r>
          </w:p>
        </w:tc>
        <w:tc>
          <w:tcPr>
            <w:tcW w:type="dxa" w:w="226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284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4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Occupancy driver — rate (%), beds, rooms or students (per building type)</w:t>
            </w:r>
          </w:p>
        </w:tc>
        <w:tc>
          <w:tcPr>
            <w:tcW w:type="dxa" w:w="226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284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4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Total 12-month energy consumption, all fuels (GJ) — from C7 tracker</w:t>
            </w:r>
          </w:p>
        </w:tc>
        <w:tc>
          <w:tcPr>
            <w:tcW w:type="dxa" w:w="226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284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4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Electricity share (kWh)</w:t>
            </w:r>
          </w:p>
        </w:tc>
        <w:tc>
          <w:tcPr>
            <w:tcW w:type="dxa" w:w="226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284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4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BEI = annual energy (kWh) ÷ GFA (m²)</w:t>
            </w:r>
          </w:p>
        </w:tc>
        <w:tc>
          <w:tcPr>
            <w:tcW w:type="dxa" w:w="226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284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kWh/m²/yr</w:t>
            </w:r>
          </w:p>
        </w:tc>
      </w:tr>
    </w:tbl>
    <w:p>
      <w:pPr>
        <w:spacing w:after="160"/>
        <w:jc w:val="left"/>
      </w:pPr>
      <w:r>
        <w:rPr>
          <w:rFonts w:ascii="Inter" w:cs="Inter" w:eastAsia="Inter" w:hAnsi="Inter"/>
          <w:i/>
          <w:iCs/>
          <w:color w:val="6B7280"/>
          <w:sz w:val="18"/>
          <w:szCs w:val="18"/>
        </w:rPr>
        <w:t xml:space="preserve">Hold the driver data monthly in the C7 tracker. If your building already carries a GP/ST/No.48/2024 energy intensity assessment or label, use the same GFA workings here — one GFA, everywhere.</w:t>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4</w:t>
      </w:r>
      <w:r>
        <w:rPr>
          <w:rFonts w:ascii="Poppins" w:cs="Poppins" w:eastAsia="Poppins" w:hAnsi="Poppins"/>
          <w:sz w:val="30"/>
          <w:szCs w:val="30"/>
        </w:rPr>
        <w:tab/>
      </w:r>
      <w:r>
        <w:rPr>
          <w:rFonts w:ascii="Poppins" w:cs="Poppins" w:eastAsia="Poppins" w:hAnsi="Poppins"/>
          <w:b/>
          <w:bCs/>
          <w:color w:val="111827"/>
          <w:sz w:val="30"/>
          <w:szCs w:val="30"/>
        </w:rPr>
        <w:t xml:space="preserve">Baseline, revision and regression (both paths)</w:t>
      </w:r>
    </w:p>
    <w:p>
      <w:pPr>
        <w:pStyle w:val="ListParagraph"/>
        <w:numPr>
          <w:ilvl w:val="0"/>
          <w:numId w:val="2"/>
        </w:numPr>
        <w:spacing w:after="90" w:line="290"/>
        <w:jc w:val="both"/>
      </w:pPr>
      <w:r>
        <w:rPr>
          <w:rFonts w:ascii="Inter" w:cs="Inter" w:eastAsia="Inter" w:hAnsi="Inter"/>
          <w:b/>
          <w:bCs/>
          <w:color w:val="1F2937"/>
          <w:sz w:val="20"/>
          <w:szCs w:val="20"/>
        </w:rPr>
        <w:t xml:space="preserve">Baseline. </w:t>
      </w:r>
      <w:r>
        <w:rPr>
          <w:rFonts w:ascii="Inter" w:cs="Inter" w:eastAsia="Inter" w:hAnsi="Inter"/>
          <w:color w:val="1F2937"/>
          <w:sz w:val="20"/>
          <w:szCs w:val="20"/>
        </w:rPr>
        <w:t xml:space="preserve">Fix the twelve-month baseline period and record the EnPI value it produces. The baseline is the reference every later saving, target and benchmark is measured against (GP46 para. 5.2.4(c)).</w:t>
      </w:r>
    </w:p>
    <w:p>
      <w:pPr>
        <w:pStyle w:val="ListParagraph"/>
        <w:numPr>
          <w:ilvl w:val="0"/>
          <w:numId w:val="2"/>
        </w:numPr>
        <w:spacing w:after="90" w:line="290"/>
        <w:jc w:val="both"/>
      </w:pPr>
      <w:r>
        <w:rPr>
          <w:rFonts w:ascii="Inter" w:cs="Inter" w:eastAsia="Inter" w:hAnsi="Inter"/>
          <w:b/>
          <w:bCs/>
          <w:color w:val="1F2937"/>
          <w:sz w:val="20"/>
          <w:szCs w:val="20"/>
        </w:rPr>
        <w:t xml:space="preserve">Revision conditions. </w:t>
      </w:r>
      <w:r>
        <w:rPr>
          <w:rFonts w:ascii="Inter" w:cs="Inter" w:eastAsia="Inter" w:hAnsi="Inter"/>
          <w:color w:val="1F2937"/>
          <w:sz w:val="20"/>
          <w:szCs w:val="20"/>
        </w:rPr>
        <w:t xml:space="preserve">GP46 para. 5.2.4(c)(ii): revise the baseline if the EEI no longer reflects the organisation’s energy performance, or after changes to static factors — size, operation system, equipment failure or natural events. Write the trigger list for your facility here and have the Committee endorse it: ______________________________________________</w:t>
      </w:r>
    </w:p>
    <w:p>
      <w:pPr>
        <w:pStyle w:val="ListParagraph"/>
        <w:numPr>
          <w:ilvl w:val="0"/>
          <w:numId w:val="2"/>
        </w:numPr>
        <w:spacing w:after="90" w:line="290"/>
        <w:jc w:val="both"/>
      </w:pPr>
      <w:r>
        <w:rPr>
          <w:rFonts w:ascii="Inter" w:cs="Inter" w:eastAsia="Inter" w:hAnsi="Inter"/>
          <w:b/>
          <w:bCs/>
          <w:color w:val="1F2937"/>
          <w:sz w:val="20"/>
          <w:szCs w:val="20"/>
        </w:rPr>
        <w:t xml:space="preserve">Regression. </w:t>
      </w:r>
      <w:r>
        <w:rPr>
          <w:rFonts w:ascii="Inter" w:cs="Inter" w:eastAsia="Inter" w:hAnsi="Inter"/>
          <w:color w:val="1F2937"/>
          <w:sz w:val="20"/>
          <w:szCs w:val="20"/>
        </w:rPr>
        <w:t xml:space="preserve">Where consumption is driven by variables (production, weather, occupancy), a regression model of consumption against those variables gives a fairer baseline than a single ratio — GP46 recognises both (para. 5.2.4(c)(i)(B)). Start simple: one or two drivers, monthly data, R² and residuals reviewed by someone who can defend them. Innovast builds IPMVP-grade regression baselines as standard audit output.</w:t>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5</w:t>
      </w:r>
      <w:r>
        <w:rPr>
          <w:rFonts w:ascii="Poppins" w:cs="Poppins" w:eastAsia="Poppins" w:hAnsi="Poppins"/>
          <w:sz w:val="30"/>
          <w:szCs w:val="30"/>
        </w:rPr>
        <w:tab/>
      </w:r>
      <w:r>
        <w:rPr>
          <w:rFonts w:ascii="Poppins" w:cs="Poppins" w:eastAsia="Poppins" w:hAnsi="Poppins"/>
          <w:b/>
          <w:bCs/>
          <w:color w:val="111827"/>
          <w:sz w:val="30"/>
          <w:szCs w:val="30"/>
        </w:rPr>
        <w:t xml:space="preserve">Benchmarking and targets</w:t>
      </w:r>
    </w:p>
    <w:p>
      <w:pPr>
        <w:pStyle w:val="ListParagraph"/>
        <w:numPr>
          <w:ilvl w:val="0"/>
          <w:numId w:val="2"/>
        </w:numPr>
        <w:spacing w:after="90" w:line="290"/>
        <w:jc w:val="both"/>
      </w:pPr>
      <w:r>
        <w:rPr>
          <w:rFonts w:ascii="Inter" w:cs="Inter" w:eastAsia="Inter" w:hAnsi="Inter"/>
          <w:b/>
          <w:bCs/>
          <w:color w:val="1F2937"/>
          <w:sz w:val="20"/>
          <w:szCs w:val="20"/>
        </w:rPr>
        <w:t xml:space="preserve">Internal benchmark</w:t>
      </w:r>
      <w:r>
        <w:rPr>
          <w:rFonts w:ascii="Inter" w:cs="Inter" w:eastAsia="Inter" w:hAnsi="Inter"/>
          <w:color w:val="1F2937"/>
          <w:sz w:val="20"/>
          <w:szCs w:val="20"/>
        </w:rPr>
        <w:t xml:space="preserve"> — compare the current EnPI against your own baseline within 12 months, or against your targets (GP46 para. 5.2.4(d)(ii)).</w:t>
      </w:r>
    </w:p>
    <w:p>
      <w:pPr>
        <w:pStyle w:val="ListParagraph"/>
        <w:numPr>
          <w:ilvl w:val="0"/>
          <w:numId w:val="2"/>
        </w:numPr>
        <w:spacing w:after="90" w:line="290"/>
        <w:jc w:val="both"/>
      </w:pPr>
      <w:r>
        <w:rPr>
          <w:rFonts w:ascii="Inter" w:cs="Inter" w:eastAsia="Inter" w:hAnsi="Inter"/>
          <w:b/>
          <w:bCs/>
          <w:color w:val="1F2937"/>
          <w:sz w:val="20"/>
          <w:szCs w:val="20"/>
        </w:rPr>
        <w:t xml:space="preserve">External benchmark</w:t>
      </w:r>
      <w:r>
        <w:rPr>
          <w:rFonts w:ascii="Inter" w:cs="Inter" w:eastAsia="Inter" w:hAnsi="Inter"/>
          <w:color w:val="1F2937"/>
          <w:sz w:val="20"/>
          <w:szCs w:val="20"/>
        </w:rPr>
        <w:t xml:space="preserve"> — compare against facilities or services in the same category, or an established standard value (GP46 para. 5.2.4(d)(i)). Note the comparator and its source here: ______________________________________________</w:t>
      </w:r>
    </w:p>
    <w:p>
      <w:pPr>
        <w:pStyle w:val="ListParagraph"/>
        <w:numPr>
          <w:ilvl w:val="0"/>
          <w:numId w:val="2"/>
        </w:numPr>
        <w:spacing w:after="90" w:line="290"/>
        <w:jc w:val="both"/>
      </w:pPr>
      <w:r>
        <w:rPr>
          <w:rFonts w:ascii="Inter" w:cs="Inter" w:eastAsia="Inter" w:hAnsi="Inter"/>
          <w:b/>
          <w:bCs/>
          <w:color w:val="1F2937"/>
          <w:sz w:val="20"/>
          <w:szCs w:val="20"/>
        </w:rPr>
        <w:t xml:space="preserve">Targets</w:t>
      </w:r>
      <w:r>
        <w:rPr>
          <w:rFonts w:ascii="Inter" w:cs="Inter" w:eastAsia="Inter" w:hAnsi="Inter"/>
          <w:color w:val="1F2937"/>
          <w:sz w:val="20"/>
          <w:szCs w:val="20"/>
        </w:rPr>
        <w:t xml:space="preserve"> — set from the EnMS assessment and this analysis (GP46 para. 5.3.1); GP46 contemplates achievement within three years of establishment (para. 5.3.2, "may"). Record the target EnPI and date in the action plan (C8) and re-present both at every management review.</w:t>
      </w:r>
    </w:p>
    <w:tbl>
      <w:tblPr>
        <w:tblW w:type="dxa" w:w="9746"/>
        <w:tblBorders>
          <w:top w:val="single" w:color="E5E7EB" w:sz="4"/>
          <w:left w:val="single" w:color="00BF63" w:sz="24"/>
          <w:bottom w:val="single" w:color="E5E7EB" w:sz="4"/>
          <w:right w:val="single" w:color="E5E7EB" w:sz="4"/>
          <w:insideH w:val="none"/>
          <w:insideV w:val="none"/>
        </w:tblBorders>
      </w:tblPr>
      <w:tblGrid>
        <w:gridCol w:w="9746"/>
      </w:tblGrid>
      <w:tr>
        <w:trPr>
          <w:cantSplit/>
        </w:trPr>
        <w:tc>
          <w:tcPr>
            <w:tcW w:type="dxa" w:w="9746"/>
            <w:shd w:fill="F9FAFB" w:val="clear"/>
            <w:tcMar>
              <w:top w:type="dxa" w:w="140"/>
              <w:left w:type="dxa" w:w="200"/>
              <w:bottom w:type="dxa" w:w="140"/>
              <w:right w:type="dxa" w:w="200"/>
            </w:tcMar>
          </w:tcPr>
          <w:p>
            <w:pPr>
              <w:spacing w:after="0" w:line="280"/>
              <w:jc w:val="both"/>
            </w:pPr>
            <w:r>
              <w:rPr>
                <w:rFonts w:ascii="Inter" w:cs="Inter" w:eastAsia="Inter" w:hAnsi="Inter"/>
                <w:b/>
                <w:bCs/>
                <w:color w:val="111827"/>
                <w:sz w:val="20"/>
                <w:szCs w:val="20"/>
              </w:rPr>
              <w:t xml:space="preserve">Sector EnPIs are where generic templates fail. </w:t>
            </w:r>
            <w:r>
              <w:rPr>
                <w:rFonts w:ascii="Inter" w:cs="Inter" w:eastAsia="Inter" w:hAnsi="Inter"/>
                <w:color w:val="1F2937"/>
                <w:sz w:val="20"/>
                <w:szCs w:val="20"/>
              </w:rPr>
              <w:t xml:space="preserve">kWh per tonne, per room-night, per bed-day, per m² at what occupancy — the defensible indicator depends on your operation. Innovast sets EnPIs and baselines as part of every audit and EnMS engagement, and InnoSense then tracks them continuously. </w:t>
            </w:r>
            <w:r>
              <w:rPr>
                <w:rFonts w:ascii="Inter" w:cs="Inter" w:eastAsia="Inter" w:hAnsi="Inter"/>
                <w:b/>
                <w:bCs/>
                <w:color w:val="1273AD"/>
                <w:sz w:val="20"/>
                <w:szCs w:val="20"/>
              </w:rPr>
              <w:t xml:space="preserve">eeca2024.my · anslem@innovast.asia</w:t>
            </w:r>
          </w:p>
        </w:tc>
      </w:tr>
    </w:tbl>
    <w:p>
      <w:r>
        <w:br w:type="page"/>
      </w:r>
    </w:p>
    <w:p>
      <w:pPr>
        <w:keepNext/>
        <w:keepLines/>
        <w:pBdr>
          <w:bottom w:val="single" w:color="38B0F8" w:sz="12" w:space="4"/>
        </w:pBdr>
        <w:tabs>
          <w:tab w:val="left" w:pos="460"/>
        </w:tabs>
        <w:spacing w:after="180" w:before="320"/>
      </w:pPr>
      <w:r>
        <w:rPr>
          <w:rFonts w:ascii="Poppins" w:cs="Poppins" w:eastAsia="Poppins" w:hAnsi="Poppins"/>
          <w:b/>
          <w:bCs/>
          <w:color w:val="111827"/>
          <w:sz w:val="30"/>
          <w:szCs w:val="30"/>
        </w:rPr>
        <w:t xml:space="preserve">The complete Starter Pack</w:t>
      </w:r>
    </w:p>
    <w:p>
      <w:pPr>
        <w:spacing w:after="140" w:line="300"/>
        <w:jc w:val="both"/>
      </w:pPr>
      <w:r>
        <w:rPr>
          <w:rFonts w:ascii="Inter" w:cs="Inter" w:eastAsia="Inter" w:hAnsi="Inter"/>
          <w:color w:val="1F2937"/>
          <w:sz w:val="20"/>
          <w:szCs w:val="20"/>
        </w:rPr>
        <w:t xml:space="preserve">This document is one of thirteen working documents in the EECA 2024 EnMS Starter Pack — together they stand up an energy management system that follows GP/ST/No.46/2024 and the statutory duties of Act 861.</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700"/>
        <w:gridCol w:w="3300"/>
        <w:gridCol w:w="5746"/>
      </w:tblGrid>
      <w:tr>
        <w:trPr>
          <w:cantSplit/>
          <w:tblHeader/>
        </w:trPr>
        <w:tc>
          <w:tcPr>
            <w:tcW w:type="dxa" w:w="7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Code</w:t>
            </w:r>
          </w:p>
        </w:tc>
        <w:tc>
          <w:tcPr>
            <w:tcW w:type="dxa" w:w="33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Document</w:t>
            </w:r>
          </w:p>
        </w:tc>
        <w:tc>
          <w:tcPr>
            <w:tcW w:type="dxa" w:w="5746"/>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Use it to</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C0</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Pack Guide &amp; Compliance Clock</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Orient the team; diarise the statutory deadlines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EECA EnMS Gap Assessment Checklist</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Score your current position (Yes / Partial / No) against every GP46 element and statutory duty; get a readiness band</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C2</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Energy Management Policy Template</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Draft the policy with the four GP46-mandatory commitments built in</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C3</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Committee &amp; Governance Kit</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Appoint the management representative; constitute the Committee; run and minute the meetings and the annual management review</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C4</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Legal &amp; Obligations Register</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Hold every Act 861 / EECR duty with citation, deadline, penalty, owner and status — the legal-compliance evaluation GP46 para. 8.2(g) expects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C5</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REM Appointment Checklist</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Choose internal vs external appointment; respect the tiering and the caps; manage the three-year window</w:t>
            </w:r>
          </w:p>
        </w:tc>
      </w:tr>
      <w:tr>
        <w:trPr>
          <w:cantSplit/>
        </w:trPr>
        <w:tc>
          <w:tcPr>
            <w:tcW w:type="dxa" w:w="700"/>
            <w:shd w:fill="EAF6FE" w:val="clear"/>
            <w:tcMar>
              <w:top w:type="dxa" w:w="70"/>
              <w:left w:type="dxa" w:w="100"/>
              <w:bottom w:type="dxa" w:w="70"/>
              <w:right w:type="dxa" w:w="100"/>
            </w:tcMar>
            <w:vAlign w:val="top"/>
          </w:tcPr>
          <w:p>
            <w:pPr>
              <w:spacing w:after="0" w:line="260"/>
            </w:pPr>
            <w:r>
              <w:rPr>
                <w:rFonts w:ascii="Inter" w:cs="Inter" w:eastAsia="Inter" w:hAnsi="Inter"/>
                <w:b/>
                <w:bCs/>
                <w:color w:val="1273AD"/>
                <w:sz w:val="18"/>
                <w:szCs w:val="18"/>
              </w:rPr>
              <w:t xml:space="preserve">C6</w:t>
            </w:r>
          </w:p>
        </w:tc>
        <w:tc>
          <w:tcPr>
            <w:tcW w:type="dxa" w:w="3300"/>
            <w:shd w:fill="EAF6FE" w:val="clear"/>
            <w:tcMar>
              <w:top w:type="dxa" w:w="70"/>
              <w:left w:type="dxa" w:w="100"/>
              <w:bottom w:type="dxa" w:w="70"/>
              <w:right w:type="dxa" w:w="100"/>
            </w:tcMar>
            <w:vAlign w:val="top"/>
          </w:tcPr>
          <w:p>
            <w:pPr>
              <w:spacing w:after="0" w:line="260"/>
            </w:pPr>
            <w:r>
              <w:rPr>
                <w:rFonts w:ascii="Inter" w:cs="Inter" w:eastAsia="Inter" w:hAnsi="Inter"/>
                <w:b/>
                <w:bCs/>
                <w:color w:val="1F2937"/>
                <w:sz w:val="18"/>
                <w:szCs w:val="18"/>
              </w:rPr>
              <w:t xml:space="preserve">EnPI / EEI Worksheet (sector-selectable)</w:t>
            </w:r>
          </w:p>
        </w:tc>
        <w:tc>
          <w:tcPr>
            <w:tcW w:type="dxa" w:w="5746"/>
            <w:shd w:fill="EAF6FE" w:val="clear"/>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Establish the baseline and indicator — SEC path for industry, BEI path for buildings  </w:t>
            </w:r>
            <w:r>
              <w:rPr>
                <w:rFonts w:ascii="Inter" w:cs="Inter" w:eastAsia="Inter" w:hAnsi="Inter"/>
                <w:b/>
                <w:bCs/>
                <w:color w:val="1273AD"/>
                <w:sz w:val="16"/>
                <w:szCs w:val="16"/>
              </w:rPr>
              <w:t xml:space="preserve">(this document)</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C7</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Energy Data Collection Plan + 12-Month Consumption Tracker (xlsx)</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Plan and record the twelve months of consumption, generation and variable data GP46 requires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C8</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Action Plan &amp; ESM Register (docx + xlsx)</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Turn audit findings into a prioritised, costed, owned action plan with M&amp;V per ESM</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C9</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Communication, Awareness &amp; Training Plan</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Discharge GP46 para. 7.7–7.9 — communication matrix, motivation strategy, training programme</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C10</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EnMS Self-Evaluation Matrix (xlsx)</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Run the GP46 para. 5.2.3(a) maturity self-evaluation at Committee formation and periodically after</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C11</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Work Procedure &amp; Log Sheet Starters</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Seed the operational controls — chiller plant and lighting examples to adapt</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C12</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EE&amp;C Report Skeleton</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Assemble the annual report content in the GP45 structure before entering it in the Commission’s online system</w:t>
            </w:r>
          </w:p>
        </w:tc>
      </w:tr>
    </w:tbl>
    <w:p>
      <w:pPr>
        <w:spacing w:after="0" w:before="160"/>
        <w:jc w:val="left"/>
      </w:pPr>
      <w:r>
        <w:rPr>
          <w:rFonts w:ascii="Inter" w:cs="Inter" w:eastAsia="Inter" w:hAnsi="Inter"/>
          <w:b/>
          <w:bCs/>
          <w:color w:val="1F2937"/>
          <w:sz w:val="20"/>
          <w:szCs w:val="20"/>
        </w:rPr>
        <w:t xml:space="preserve">Get the complete pack, free:  </w:t>
      </w:r>
      <w:r>
        <w:rPr>
          <w:rFonts w:ascii="Inter" w:cs="Inter" w:eastAsia="Inter" w:hAnsi="Inter"/>
          <w:b/>
          <w:bCs/>
          <w:color w:val="1273AD"/>
          <w:sz w:val="20"/>
          <w:szCs w:val="20"/>
        </w:rPr>
        <w:t xml:space="preserve">eeca2024.my/enms-pack</w:t>
      </w:r>
      <w:r>
        <w:rPr>
          <w:rFonts w:ascii="Inter" w:cs="Inter" w:eastAsia="Inter" w:hAnsi="Inter"/>
          <w:color w:val="4B5563"/>
          <w:sz w:val="19"/>
          <w:szCs w:val="19"/>
        </w:rPr>
        <w:t xml:space="preserve">   ·   anslem@innovast.asia   ·   +60 12 355 6214</w:t>
      </w:r>
    </w:p>
    <w:sectPr>
      <w:headerReference w:type="default" r:id="rId7"/>
      <w:headerReference w:type="first" r:id="rId8"/>
      <w:footerReference w:type="default" r:id="rId9"/>
      <w:footerReference w:type="first" r:id="rId10"/>
      <w:pgSz w:w="11906" w:h="16838"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swiss"/>
    <w:pitch w:val="variable"/>
    <w:embedRegular r:id="rIdFont1" w:fontKey="{3762AD49-E2DC-4CB7-9F7C-024594ECE5FC}"/>
    <w:embedBold r:id="rIdFont2" w:fontKey="{B4718368-CE4E-49ED-818D-98AEF853478E}"/>
  </w:font>
  <w:font w:name="Inter">
    <w:charset w:val="00"/>
    <w:family w:val="swiss"/>
    <w:pitch w:val="variable"/>
    <w:embedRegular r:id="rIdFont3" w:fontKey="{3E13B254-A7B3-4C01-9D34-D01D176E4C56}"/>
    <w:embedBold r:id="rIdFont4" w:fontKey="{F0898966-F72B-4C98-8D5E-C7FBE10DBD84}"/>
    <w:embedItalic r:id="rIdFont5" w:fontKey="{D7BA614E-61AD-4795-A852-25ECEB27F0E8}"/>
    <w:embedBoldItalic r:id="rIdFont6" w:fontKey="{D075035D-27B6-45C4-B938-EFFA5DC17A1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4" w:space="3"/>
      </w:pBdr>
      <w:tabs>
        <w:tab w:val="right" w:pos="9746"/>
      </w:tabs>
      <w:spacing w:after="20"/>
    </w:pPr>
    <w:r>
      <w:rPr>
        <w:rFonts w:ascii="Inter" w:cs="Inter" w:eastAsia="Inter" w:hAnsi="Inter"/>
        <w:color w:val="6B7280"/>
        <w:sz w:val="15"/>
        <w:szCs w:val="15"/>
      </w:rPr>
      <w:t xml:space="preserve">INV-ENMS-C6 · Rev 1.0 · Draft for adaptation</w:t>
    </w:r>
    <w:r>
      <w:rPr>
        <w:rFonts w:ascii="Inter" w:cs="Inter" w:eastAsia="Inter" w:hAnsi="Inter"/>
        <w:sz w:val="15"/>
        <w:szCs w:val="15"/>
      </w:rPr>
      <w:t xml:space="preserve">	</w:t>
    </w:r>
    <w:r>
      <w:rPr>
        <w:rFonts w:ascii="Inter" w:cs="Inter" w:eastAsia="Inter" w:hAnsi="Inter"/>
        <w:color w:val="6B7280"/>
        <w:sz w:val="15"/>
        <w:szCs w:val="15"/>
      </w:rPr>
      <w:t xml:space="preserve">Page </w:t>
    </w:r>
    <w:r>
      <w:rPr>
        <w:rFonts w:ascii="Inter" w:cs="Inter" w:eastAsia="Inter" w:hAnsi="Inter"/>
        <w:color w:val="6B7280"/>
        <w:sz w:val="15"/>
        <w:szCs w:val="15"/>
      </w:rPr>
      <w:fldChar w:fldCharType="begin"/>
      <w:instrText xml:space="preserve">PAGE</w:instrText>
      <w:fldChar w:fldCharType="separate"/>
      <w:fldChar w:fldCharType="end"/>
    </w:r>
    <w:r>
      <w:rPr>
        <w:rFonts w:ascii="Inter" w:cs="Inter" w:eastAsia="Inter" w:hAnsi="Inter"/>
        <w:color w:val="6B7280"/>
        <w:sz w:val="15"/>
        <w:szCs w:val="15"/>
      </w:rPr>
      <w:t xml:space="preserve"> of </w:t>
    </w:r>
    <w:r>
      <w:rPr>
        <w:rFonts w:ascii="Inter" w:cs="Inter" w:eastAsia="Inter" w:hAnsi="Inter"/>
        <w:color w:val="6B7280"/>
        <w:sz w:val="15"/>
        <w:szCs w:val="15"/>
      </w:rPr>
      <w:fldChar w:fldCharType="begin"/>
      <w:instrText xml:space="preserve">NUMPAGES</w:instrText>
      <w:fldChar w:fldCharType="separate"/>
      <w:fldChar w:fldCharType="end"/>
    </w:r>
  </w:p>
  <w:p>
    <w:pPr>
      <w:jc w:val="center"/>
    </w:pPr>
    <w:r>
      <w:rPr>
        <w:rFonts w:ascii="Inter" w:cs="Inter" w:eastAsia="Inter" w:hAnsi="Inter"/>
        <w:color w:val="6B7280"/>
        <w:sz w:val="15"/>
        <w:szCs w:val="15"/>
      </w:rPr>
      <w:t xml:space="preserve">Innovast Sdn Bhd · Licensed ESCO · Registered with Suruhanjaya Tenaga (Energy Commission Malaysia)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4" w:space="6"/>
      </w:pBdr>
      <w:spacing w:after="40"/>
    </w:pPr>
    <w:r>
      <w:rPr>
        <w:rFonts w:ascii="Poppins" w:cs="Poppins" w:eastAsia="Poppins" w:hAnsi="Poppins"/>
        <w:b/>
        <w:bCs/>
        <w:color w:val="111827"/>
        <w:sz w:val="21"/>
        <w:szCs w:val="21"/>
      </w:rPr>
      <w:t xml:space="preserve">Innovast Sdn Bhd</w:t>
    </w:r>
  </w:p>
  <w:p>
    <w:pPr>
      <w:spacing w:after="20"/>
    </w:pPr>
    <w:r>
      <w:rPr>
        <w:rFonts w:ascii="Inter" w:cs="Inter" w:eastAsia="Inter" w:hAnsi="Inter"/>
        <w:color w:val="4B5563"/>
        <w:sz w:val="18"/>
        <w:szCs w:val="18"/>
      </w:rPr>
      <w:t xml:space="preserve">Licensed Energy Service Company (ESCO) · ESCO Reg. No. ESCO 327(2023)/76/2024</w:t>
    </w:r>
  </w:p>
  <w:p>
    <w:pPr>
      <w:spacing w:after="20"/>
    </w:pPr>
    <w:r>
      <w:rPr>
        <w:rFonts w:ascii="Inter" w:cs="Inter" w:eastAsia="Inter" w:hAnsi="Inter"/>
        <w:color w:val="4B5563"/>
        <w:sz w:val="18"/>
        <w:szCs w:val="18"/>
      </w:rPr>
      <w:t xml:space="preserve">Company Reg. No. 202201012221 (1457918-M) · Registered with Suruhanjaya Tenaga · SEDA Recognised</w:t>
    </w:r>
  </w:p>
  <w:p>
    <w:pPr>
      <w:spacing w:after="0"/>
    </w:pPr>
    <w:r>
      <w:rPr>
        <w:rFonts w:ascii="Inter" w:cs="Inter" w:eastAsia="Inter" w:hAnsi="Inter"/>
        <w:color w:val="1273AD"/>
        <w:sz w:val="18"/>
        <w:szCs w:val="18"/>
      </w:rPr>
      <w:t xml:space="preserve">www.innovast.asia · anslem@innovast.asia · +60 12 355 6214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4" w:space="3"/>
      </w:pBdr>
      <w:tabs>
        <w:tab w:val="right" w:pos="9746"/>
      </w:tabs>
    </w:pPr>
    <w:r>
      <w:drawing>
        <wp:inline distT="0" distB="0" distL="0" distR="0">
          <wp:extent cx="85725" cy="152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85725" cy="152400"/>
                  </a:xfrm>
                  <a:prstGeom prst="rect">
                    <a:avLst/>
                  </a:prstGeom>
                </pic:spPr>
              </pic:pic>
            </a:graphicData>
          </a:graphic>
        </wp:inline>
      </w:drawing>
    </w:r>
    <w:r>
      <w:rPr>
        <w:rFonts w:ascii="Poppins" w:cs="Poppins" w:eastAsia="Poppins" w:hAnsi="Poppins"/>
        <w:b/>
        <w:bCs/>
        <w:color w:val="6B7280"/>
        <w:sz w:val="16"/>
        <w:szCs w:val="16"/>
      </w:rPr>
      <w:t xml:space="preserve">  EECA 2024 EnMS Starter Pack</w:t>
    </w:r>
    <w:r>
      <w:rPr>
        <w:rFonts w:ascii="Inter" w:cs="Inter" w:eastAsia="Inter" w:hAnsi="Inter"/>
        <w:color w:val="6B7280"/>
        <w:sz w:val="16"/>
        <w:szCs w:val="16"/>
      </w:rPr>
      <w:t xml:space="preserve">	C6 · EnPI / EEI Worksheet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lvl w:ilvl="1" w15:tentative="1">
      <w:start w:val="1"/>
      <w:numFmt w:val="bullet"/>
      <w:lvlText w:val="·"/>
      <w:lvlJc w:val="left"/>
      <w:pPr>
        <w:ind w:left="700" w:hanging="200"/>
      </w:pPr>
    </w:lvl>
  </w:abstractNum>
  <w:abstractNum w:abstractNumId="3" w15:restartNumberingAfterBreak="0">
    <w:multiLevelType w:val="hybridMultilevel"/>
    <w:lvl w:ilvl="0" w15:tentative="1">
      <w:start w:val="1"/>
      <w:numFmt w:val="decimal"/>
      <w:lvlText w:val="%1."/>
      <w:lvlJc w:val="left"/>
      <w:pPr>
        <w:ind w:left="4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mbedTrueTypeFonts/>
  <w:saveSubsetFont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F2937"/>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6a3225be243d0684e64ffa8d8cda75a3f659697e.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 standalone="yes"?><Relationships xmlns="http://schemas.openxmlformats.org/package/2006/relationships"><Relationship Id="rIdFont1" Type="http://schemas.openxmlformats.org/officeDocument/2006/relationships/font" Target="fonts/font1.odttf"/><Relationship Id="rIdFont2" Type="http://schemas.openxmlformats.org/officeDocument/2006/relationships/font" Target="fonts/font2.odttf"/><Relationship Id="rIdFont3" Type="http://schemas.openxmlformats.org/officeDocument/2006/relationships/font" Target="fonts/font3.odttf"/><Relationship Id="rIdFont4" Type="http://schemas.openxmlformats.org/officeDocument/2006/relationships/font" Target="fonts/font4.odttf"/><Relationship Id="rIdFont5" Type="http://schemas.openxmlformats.org/officeDocument/2006/relationships/font" Target="fonts/font5.odttf"/><Relationship Id="rIdFont6" Type="http://schemas.openxmlformats.org/officeDocument/2006/relationships/font" Target="fonts/font6.odttf"/></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f7d3d510dd56c0f342def237bd02c91681dac2a.png"/></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 · EnPI / EEI Worksheet — EECA 2024 EnMS Starter Pack</dc:title>
  <dc:subject>EECA 2024 EnMS Starter Pack — draft EnMS documentation for Malaysian designated energy consumers (GP/ST/No.46/2024; Act 861; P.U.(A) 466/2024)</dc:subject>
  <dc:creator>Anslem Lim</dc:creator>
  <cp:keywords>EECA 2024, Act 861, EnMS, GP/ST/No.46/2024, energy management, Innovast, Suruhanjaya Tenaga</cp:keywords>
  <dc:description>Prepared by Innovast Sdn Bhd, Licensed ESCO (ESCO 327(2023)/76/2024). Draft for adaptation — adapt to your organisation before use; not regulatory advice.</dc:description>
  <cp:lastModifiedBy>Innovast Sdn Bhd</cp:lastModifiedBy>
  <cp:revision>1</cp:revision>
  <dcterms:created xsi:type="dcterms:W3CDTF">2026-07-29T04:16:49.275Z</dcterms:created>
  <dcterms:modified xsi:type="dcterms:W3CDTF">2026-07-29T04:16:49.275Z</dcterms:modified>
</cp:coreProperties>
</file>

<file path=docProps/custom.xml><?xml version="1.0" encoding="utf-8"?>
<Properties xmlns="http://schemas.openxmlformats.org/officeDocument/2006/custom-properties" xmlns:vt="http://schemas.openxmlformats.org/officeDocument/2006/docPropsVTypes"/>
</file>