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746"/>
        <w:tblBorders>
          <w:top w:val="none"/>
          <w:left w:val="none"/>
          <w:bottom w:val="none"/>
          <w:right w:val="none"/>
          <w:insideH w:val="none"/>
          <w:insideV w:val="none"/>
        </w:tblBorders>
      </w:tblPr>
      <w:tblGrid>
        <w:gridCol w:w="8046"/>
        <w:gridCol w:w="1700"/>
      </w:tblGrid>
      <w:tr>
        <w:trPr>
          <w:cantSplit/>
          <w:trHeight w:val="80" w:hRule="exact"/>
        </w:trPr>
        <w:tc>
          <w:tcPr>
            <w:tcW w:type="dxa" w:w="8046"/>
            <w:tcBorders>
              <w:top w:val="none"/>
              <w:left w:val="none"/>
              <w:bottom w:val="none"/>
              <w:right w:val="none"/>
            </w:tcBorders>
            <w:shd w:fill="38B0F8" w:val="clear"/>
            <w:tcMar>
              <w:top w:type="dxa" w:w="0"/>
              <w:left w:type="dxa" w:w="0"/>
              <w:bottom w:type="dxa" w:w="0"/>
              <w:right w:type="dxa" w:w="0"/>
            </w:tcMar>
          </w:tcPr>
          <w:p>
            <w:pPr>
              <w:spacing w:after="0" w:line="40" w:lineRule="exact"/>
            </w:pPr>
            <w:r>
              <w:rPr>
                <w:sz w:val="2"/>
                <w:szCs w:val="2"/>
              </w:rPr>
              <w:t xml:space="preserve"/>
            </w:r>
          </w:p>
        </w:tc>
        <w:tc>
          <w:tcPr>
            <w:tcW w:type="dxa" w:w="1700"/>
            <w:tcBorders>
              <w:top w:val="none"/>
              <w:left w:val="none"/>
              <w:bottom w:val="none"/>
              <w:right w:val="none"/>
            </w:tcBorders>
            <w:shd w:fill="F89048" w:val="clear"/>
            <w:tcMar>
              <w:top w:type="dxa" w:w="0"/>
              <w:left w:type="dxa" w:w="0"/>
              <w:bottom w:type="dxa" w:w="0"/>
              <w:right w:type="dxa" w:w="0"/>
            </w:tcMar>
          </w:tcPr>
          <w:p>
            <w:pPr>
              <w:spacing w:after="0" w:line="40" w:lineRule="exact"/>
            </w:pPr>
            <w:r>
              <w:rPr>
                <w:sz w:val="2"/>
                <w:szCs w:val="2"/>
              </w:rPr>
              <w:t xml:space="preserve"/>
            </w:r>
          </w:p>
        </w:tc>
      </w:tr>
    </w:tbl>
    <w:p>
      <w:pPr>
        <w:spacing w:after="320"/>
      </w:pPr>
      <w:r>
        <w:rPr>
          <w:sz w:val="2"/>
          <w:szCs w:val="2"/>
        </w:rPr>
        <w:t xml:space="preserve"/>
      </w:r>
    </w:p>
    <w:p>
      <w:pPr>
        <w:spacing w:after="420"/>
      </w:pPr>
      <w:r>
        <w:drawing>
          <wp:inline distT="0" distB="0" distL="0" distR="0">
            <wp:extent cx="1905000" cy="485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905000" cy="485775"/>
                    </a:xfrm>
                    <a:prstGeom prst="rect">
                      <a:avLst/>
                    </a:prstGeom>
                  </pic:spPr>
                </pic:pic>
              </a:graphicData>
            </a:graphic>
          </wp:inline>
        </w:drawing>
      </w:r>
    </w:p>
    <w:p>
      <w:pPr>
        <w:spacing w:after="60" w:before="700"/>
      </w:pPr>
      <w:r>
        <w:rPr>
          <w:rFonts w:ascii="Poppins" w:cs="Poppins" w:eastAsia="Poppins" w:hAnsi="Poppins"/>
          <w:b/>
          <w:bCs/>
          <w:color w:val="F89048"/>
          <w:spacing w:val="20"/>
          <w:sz w:val="20"/>
          <w:szCs w:val="20"/>
        </w:rPr>
        <w:t xml:space="preserve">EECA 2024 EnMS STARTER PACK</w:t>
      </w:r>
    </w:p>
    <w:p>
      <w:pPr>
        <w:spacing w:after="100"/>
      </w:pPr>
      <w:r>
        <w:rPr>
          <w:rFonts w:ascii="Poppins" w:cs="Poppins" w:eastAsia="Poppins" w:hAnsi="Poppins"/>
          <w:b/>
          <w:bCs/>
          <w:color w:val="6B7280"/>
          <w:sz w:val="20"/>
          <w:szCs w:val="20"/>
        </w:rPr>
        <w:t xml:space="preserve">C5 · REM APPOINTMENT</w:t>
      </w:r>
    </w:p>
    <w:p>
      <w:pPr>
        <w:spacing w:after="160"/>
      </w:pPr>
      <w:r>
        <w:rPr>
          <w:rFonts w:ascii="Poppins" w:cs="Poppins" w:eastAsia="Poppins" w:hAnsi="Poppins"/>
          <w:b/>
          <w:bCs/>
          <w:color w:val="111827"/>
          <w:sz w:val="52"/>
          <w:szCs w:val="52"/>
        </w:rPr>
        <w:t xml:space="preserve">REM Appointment Checklist</w:t>
      </w:r>
    </w:p>
    <w:p>
      <w:pPr>
        <w:pBdr>
          <w:top w:val="single" w:color="38B0F8" w:sz="18" w:space="8"/>
        </w:pBdr>
        <w:spacing w:after="200"/>
      </w:pPr>
      <w:r>
        <w:rPr>
          <w:rFonts w:ascii="Inter" w:cs="Inter" w:eastAsia="Inter" w:hAnsi="Inter"/>
          <w:color w:val="4B5563"/>
          <w:sz w:val="24"/>
          <w:szCs w:val="24"/>
        </w:rPr>
        <w:t xml:space="preserve">Internal vs external appointment under regulations 4–7 — the tiering, the caps, the three-year window, and the vacancy protocol</w:t>
      </w:r>
    </w:p>
    <w:p>
      <w:pPr>
        <w:spacing w:after="360" w:line="320"/>
        <w:jc w:val="both"/>
      </w:pPr>
      <w:r>
        <w:rPr>
          <w:rFonts w:ascii="Inter" w:cs="Inter" w:eastAsia="Inter" w:hAnsi="Inter"/>
          <w:color w:val="1F2937"/>
          <w:sz w:val="20"/>
          <w:szCs w:val="20"/>
        </w:rPr>
        <w:t xml:space="preserve">The registered energy manager is the first statutory appointment on the compliance clock — due within three months of Suruhanjaya Tenaga’s written notice — and the anchor for the EnMS and EE&amp;C report deadlines that follow. This checklist takes you through the decision, the qualification tiering, the workload caps, and the notifications, for both the internal and the external route.</w:t>
      </w:r>
    </w:p>
    <w:tbl>
      <w:tblPr>
        <w:tblW w:type="dxa" w:w="9746"/>
        <w:tblBorders>
          <w:top w:val="single" w:color="E5E7EB" w:sz="4"/>
          <w:left w:val="single" w:color="E5E7EB" w:sz="4"/>
          <w:bottom w:val="single" w:color="E5E7EB" w:sz="4"/>
          <w:right w:val="single" w:color="E5E7EB" w:sz="4"/>
          <w:insideH w:val="single" w:color="E5E7EB" w:sz="4"/>
          <w:insideV w:val="single" w:color="E5E7EB" w:sz="4"/>
        </w:tblBorders>
      </w:tblPr>
      <w:tblGrid>
        <w:gridCol w:w="2100"/>
        <w:gridCol w:w="900"/>
        <w:gridCol w:w="1750"/>
        <w:gridCol w:w="2300"/>
        <w:gridCol w:w="2696"/>
      </w:tblGrid>
      <w:tr>
        <w:trPr>
          <w:cantSplit/>
        </w:trPr>
        <w:tc>
          <w:tcPr>
            <w:tcW w:type="dxa" w:w="2100"/>
            <w:tcMar>
              <w:top w:type="dxa" w:w="90"/>
              <w:left w:type="dxa" w:w="120"/>
              <w:bottom w:type="dxa" w:w="90"/>
              <w:right w:type="dxa" w:w="120"/>
            </w:tcMar>
            <w:vAlign w:val="center"/>
          </w:tcPr>
          <w:p>
            <w:pPr>
              <w:spacing w:after="20" w:line="240"/>
            </w:pPr>
            <w:r>
              <w:rPr>
                <w:rFonts w:ascii="Poppins" w:cs="Poppins" w:eastAsia="Poppins" w:hAnsi="Poppins"/>
                <w:b/>
                <w:bCs/>
                <w:color w:val="6B7280"/>
                <w:spacing w:val="10"/>
                <w:sz w:val="14"/>
                <w:szCs w:val="14"/>
              </w:rPr>
              <w:t xml:space="preserve">DOCUMENT NO.</w:t>
            </w:r>
          </w:p>
          <w:p>
            <w:pPr>
              <w:spacing w:after="0" w:line="240"/>
            </w:pPr>
            <w:r>
              <w:rPr>
                <w:rFonts w:ascii="Inter" w:cs="Inter" w:eastAsia="Inter" w:hAnsi="Inter"/>
                <w:color w:val="111827"/>
                <w:sz w:val="18"/>
                <w:szCs w:val="18"/>
              </w:rPr>
              <w:t xml:space="preserve">INV-ENMS-C5</w:t>
            </w:r>
          </w:p>
        </w:tc>
        <w:tc>
          <w:tcPr>
            <w:tcW w:type="dxa" w:w="900"/>
            <w:tcMar>
              <w:top w:type="dxa" w:w="90"/>
              <w:left w:type="dxa" w:w="120"/>
              <w:bottom w:type="dxa" w:w="90"/>
              <w:right w:type="dxa" w:w="120"/>
            </w:tcMar>
            <w:vAlign w:val="center"/>
          </w:tcPr>
          <w:p>
            <w:pPr>
              <w:spacing w:after="20" w:line="240"/>
            </w:pPr>
            <w:r>
              <w:rPr>
                <w:rFonts w:ascii="Poppins" w:cs="Poppins" w:eastAsia="Poppins" w:hAnsi="Poppins"/>
                <w:b/>
                <w:bCs/>
                <w:color w:val="6B7280"/>
                <w:spacing w:val="10"/>
                <w:sz w:val="14"/>
                <w:szCs w:val="14"/>
              </w:rPr>
              <w:t xml:space="preserve">REV</w:t>
            </w:r>
          </w:p>
          <w:p>
            <w:pPr>
              <w:spacing w:after="0" w:line="240"/>
            </w:pPr>
            <w:r>
              <w:rPr>
                <w:rFonts w:ascii="Inter" w:cs="Inter" w:eastAsia="Inter" w:hAnsi="Inter"/>
                <w:color w:val="111827"/>
                <w:sz w:val="18"/>
                <w:szCs w:val="18"/>
              </w:rPr>
              <w:t xml:space="preserve">1.0</w:t>
            </w:r>
          </w:p>
        </w:tc>
        <w:tc>
          <w:tcPr>
            <w:tcW w:type="dxa" w:w="1750"/>
            <w:tcMar>
              <w:top w:type="dxa" w:w="90"/>
              <w:left w:type="dxa" w:w="120"/>
              <w:bottom w:type="dxa" w:w="90"/>
              <w:right w:type="dxa" w:w="120"/>
            </w:tcMar>
            <w:vAlign w:val="center"/>
          </w:tcPr>
          <w:p>
            <w:pPr>
              <w:spacing w:after="20" w:line="240"/>
            </w:pPr>
            <w:r>
              <w:rPr>
                <w:rFonts w:ascii="Poppins" w:cs="Poppins" w:eastAsia="Poppins" w:hAnsi="Poppins"/>
                <w:b/>
                <w:bCs/>
                <w:color w:val="6B7280"/>
                <w:spacing w:val="10"/>
                <w:sz w:val="14"/>
                <w:szCs w:val="14"/>
              </w:rPr>
              <w:t xml:space="preserve">ISSUE DATE</w:t>
            </w:r>
          </w:p>
          <w:p>
            <w:pPr>
              <w:spacing w:after="0" w:line="240"/>
            </w:pPr>
            <w:r>
              <w:rPr>
                <w:rFonts w:ascii="Inter" w:cs="Inter" w:eastAsia="Inter" w:hAnsi="Inter"/>
                <w:color w:val="111827"/>
                <w:sz w:val="18"/>
                <w:szCs w:val="18"/>
              </w:rPr>
              <w:t xml:space="preserve">29 July 2026</w:t>
            </w:r>
          </w:p>
        </w:tc>
        <w:tc>
          <w:tcPr>
            <w:tcW w:type="dxa" w:w="2300"/>
            <w:tcMar>
              <w:top w:type="dxa" w:w="90"/>
              <w:left w:type="dxa" w:w="120"/>
              <w:bottom w:type="dxa" w:w="90"/>
              <w:right w:type="dxa" w:w="120"/>
            </w:tcMar>
            <w:vAlign w:val="center"/>
          </w:tcPr>
          <w:p>
            <w:pPr>
              <w:spacing w:after="20" w:line="240"/>
            </w:pPr>
            <w:r>
              <w:rPr>
                <w:rFonts w:ascii="Poppins" w:cs="Poppins" w:eastAsia="Poppins" w:hAnsi="Poppins"/>
                <w:b/>
                <w:bCs/>
                <w:color w:val="6B7280"/>
                <w:spacing w:val="10"/>
                <w:sz w:val="14"/>
                <w:szCs w:val="14"/>
              </w:rPr>
              <w:t xml:space="preserve">PREPARED BY</w:t>
            </w:r>
          </w:p>
          <w:p>
            <w:pPr>
              <w:spacing w:after="0" w:line="240"/>
            </w:pPr>
            <w:r>
              <w:rPr>
                <w:rFonts w:ascii="Inter" w:cs="Inter" w:eastAsia="Inter" w:hAnsi="Inter"/>
                <w:color w:val="111827"/>
                <w:sz w:val="18"/>
                <w:szCs w:val="18"/>
              </w:rPr>
              <w:t xml:space="preserve">Innovast Sdn Bhd</w:t>
            </w:r>
          </w:p>
        </w:tc>
        <w:tc>
          <w:tcPr>
            <w:tcW w:type="dxa" w:w="2696"/>
            <w:tcMar>
              <w:top w:type="dxa" w:w="90"/>
              <w:left w:type="dxa" w:w="120"/>
              <w:bottom w:type="dxa" w:w="90"/>
              <w:right w:type="dxa" w:w="120"/>
            </w:tcMar>
            <w:vAlign w:val="center"/>
          </w:tcPr>
          <w:p>
            <w:pPr>
              <w:spacing w:after="20" w:line="240"/>
            </w:pPr>
            <w:r>
              <w:rPr>
                <w:rFonts w:ascii="Poppins" w:cs="Poppins" w:eastAsia="Poppins" w:hAnsi="Poppins"/>
                <w:b/>
                <w:bCs/>
                <w:color w:val="6B7280"/>
                <w:spacing w:val="10"/>
                <w:sz w:val="14"/>
                <w:szCs w:val="14"/>
              </w:rPr>
              <w:t xml:space="preserve">APPROVED BY</w:t>
            </w:r>
          </w:p>
          <w:p>
            <w:pPr>
              <w:spacing w:after="0" w:line="240"/>
            </w:pPr>
            <w:r>
              <w:rPr>
                <w:rFonts w:ascii="Inter" w:cs="Inter" w:eastAsia="Inter" w:hAnsi="Inter"/>
                <w:color w:val="111827"/>
                <w:sz w:val="18"/>
                <w:szCs w:val="18"/>
              </w:rPr>
              <w:t xml:space="preserve">Anslem Lim, CEO</w:t>
            </w:r>
          </w:p>
        </w:tc>
      </w:tr>
    </w:tbl>
    <w:p>
      <w:pPr>
        <w:spacing w:after="260" w:before="80"/>
        <w:jc w:val="both"/>
      </w:pPr>
      <w:r>
        <w:rPr>
          <w:rFonts w:ascii="Inter" w:cs="Inter" w:eastAsia="Inter" w:hAnsi="Inter"/>
          <w:i/>
          <w:iCs/>
          <w:color w:val="6B7280"/>
          <w:sz w:val="16"/>
          <w:szCs w:val="16"/>
        </w:rPr>
        <w:t xml:space="preserve">Rev 1.0 · issued 29 July 2026 · regulatory sources last verified 18 July 2026.</w:t>
      </w:r>
    </w:p>
    <w:tbl>
      <w:tblPr>
        <w:tblW w:type="dxa" w:w="9746"/>
        <w:tblBorders>
          <w:top w:val="single" w:color="E5E7EB" w:sz="4"/>
          <w:left w:val="single" w:color="F89048" w:sz="24"/>
          <w:bottom w:val="single" w:color="E5E7EB" w:sz="4"/>
          <w:right w:val="single" w:color="E5E7EB" w:sz="4"/>
          <w:insideH w:val="none"/>
          <w:insideV w:val="none"/>
        </w:tblBorders>
      </w:tblPr>
      <w:tblGrid>
        <w:gridCol w:w="9746"/>
      </w:tblGrid>
      <w:tr>
        <w:trPr>
          <w:cantSplit/>
        </w:trPr>
        <w:tc>
          <w:tcPr>
            <w:tcW w:type="dxa" w:w="9746"/>
            <w:shd w:fill="F9FAFB" w:val="clear"/>
            <w:tcMar>
              <w:top w:type="dxa" w:w="140"/>
              <w:left w:type="dxa" w:w="200"/>
              <w:bottom w:type="dxa" w:w="140"/>
              <w:right w:type="dxa" w:w="200"/>
            </w:tcMar>
          </w:tcPr>
          <w:p>
            <w:pPr>
              <w:spacing w:after="0" w:line="260"/>
              <w:jc w:val="both"/>
            </w:pPr>
            <w:r>
              <w:rPr>
                <w:rFonts w:ascii="Inter" w:cs="Inter" w:eastAsia="Inter" w:hAnsi="Inter"/>
                <w:b/>
                <w:bCs/>
                <w:color w:val="111827"/>
                <w:sz w:val="18"/>
                <w:szCs w:val="18"/>
              </w:rPr>
              <w:t xml:space="preserve">DRAFT FOR ADAPTATION</w:t>
            </w:r>
            <w:r>
              <w:rPr>
                <w:rFonts w:ascii="Inter" w:cs="Inter" w:eastAsia="Inter" w:hAnsi="Inter"/>
                <w:color w:val="4B5563"/>
                <w:sz w:val="18"/>
                <w:szCs w:val="18"/>
              </w:rPr>
              <w:t xml:space="preserve"> — this template is not regulatory advice. Prepared with reference to GP/ST/No.46/2024 (Guidelines on Energy Management System), the Energy Efficiency and Conservation Act 2024 [Act 861] and the Energy Efficiency and Conservation Regulations 2024 [P.U.(A) 466/2024]; sources last verified 18 July 2026. Adapt every field to your organisation before use. Only Suruhanjaya Tenaga can determine compliance with the Act.</w:t>
            </w:r>
          </w:p>
        </w:tc>
      </w:tr>
    </w:tbl>
    <w:p>
      <w:r>
        <w:br w:type="page"/>
      </w:r>
    </w:p>
    <w:p>
      <w:pPr>
        <w:keepNext/>
        <w:keepLines/>
        <w:pBdr>
          <w:bottom w:val="single" w:color="38B0F8" w:sz="12" w:space="4"/>
        </w:pBdr>
        <w:tabs>
          <w:tab w:val="left" w:pos="460"/>
        </w:tabs>
        <w:spacing w:after="180" w:before="320"/>
        <w:ind w:left="460" w:hanging="460"/>
      </w:pPr>
      <w:r>
        <w:rPr>
          <w:rFonts w:ascii="Poppins" w:cs="Poppins" w:eastAsia="Poppins" w:hAnsi="Poppins"/>
          <w:b/>
          <w:bCs/>
          <w:color w:val="38B0F8"/>
          <w:sz w:val="30"/>
          <w:szCs w:val="30"/>
        </w:rPr>
        <w:t xml:space="preserve">1</w:t>
      </w:r>
      <w:r>
        <w:rPr>
          <w:rFonts w:ascii="Poppins" w:cs="Poppins" w:eastAsia="Poppins" w:hAnsi="Poppins"/>
          <w:sz w:val="30"/>
          <w:szCs w:val="30"/>
        </w:rPr>
        <w:tab/>
      </w:r>
      <w:r>
        <w:rPr>
          <w:rFonts w:ascii="Poppins" w:cs="Poppins" w:eastAsia="Poppins" w:hAnsi="Poppins"/>
          <w:b/>
          <w:bCs/>
          <w:color w:val="111827"/>
          <w:sz w:val="30"/>
          <w:szCs w:val="30"/>
        </w:rPr>
        <w:t xml:space="preserve">The decision: internal or external</w:t>
      </w:r>
    </w:p>
    <w:p>
      <w:pPr>
        <w:spacing w:after="140" w:line="300"/>
        <w:jc w:val="both"/>
      </w:pPr>
      <w:r>
        <w:rPr>
          <w:rFonts w:ascii="Inter" w:cs="Inter" w:eastAsia="Inter" w:hAnsi="Inter"/>
          <w:color w:val="1F2937"/>
          <w:sz w:val="20"/>
          <w:szCs w:val="20"/>
        </w:rPr>
        <w:t xml:space="preserve">The default rule is internal: regulation 4(1) requires appointment of a REM </w:t>
      </w:r>
      <w:r>
        <w:rPr>
          <w:rFonts w:ascii="Inter" w:cs="Inter" w:eastAsia="Inter" w:hAnsi="Inter"/>
          <w:b/>
          <w:bCs/>
          <w:color w:val="1F2937"/>
          <w:sz w:val="20"/>
          <w:szCs w:val="20"/>
        </w:rPr>
        <w:t xml:space="preserve">from among your employees</w:t>
      </w:r>
      <w:r>
        <w:rPr>
          <w:rFonts w:ascii="Inter" w:cs="Inter" w:eastAsia="Inter" w:hAnsi="Inter"/>
          <w:color w:val="1F2937"/>
          <w:sz w:val="20"/>
          <w:szCs w:val="20"/>
        </w:rPr>
        <w:t xml:space="preserve">. Regulation 6(1) provides the alternative: an external REM — not an employee of yours or of your related corporations — may be appointed </w:t>
      </w:r>
      <w:r>
        <w:rPr>
          <w:rFonts w:ascii="Inter" w:cs="Inter" w:eastAsia="Inter" w:hAnsi="Inter"/>
          <w:b/>
          <w:bCs/>
          <w:color w:val="1F2937"/>
          <w:sz w:val="20"/>
          <w:szCs w:val="20"/>
        </w:rPr>
        <w:t xml:space="preserve">for a period not exceeding three years from the date of the s.3(3) written notice</w:t>
      </w:r>
      <w:r>
        <w:rPr>
          <w:rFonts w:ascii="Inter" w:cs="Inter" w:eastAsia="Inter" w:hAnsi="Inter"/>
          <w:color w:val="1F2937"/>
          <w:sz w:val="20"/>
          <w:szCs w:val="20"/>
        </w:rPr>
        <w:t xml:space="preserve">. Immediately on expiry of that window, an internal REM must be appointed in accordance with regulation 4 (reg 6(4)).</w:t>
      </w:r>
    </w:p>
    <w:tbl>
      <w:tblPr>
        <w:tblW w:type="dxa" w:w="9746"/>
        <w:tblBorders>
          <w:top w:val="single" w:color="E5E7EB" w:sz="4"/>
          <w:left w:val="single" w:color="E5E7EB" w:sz="4"/>
          <w:bottom w:val="single" w:color="E5E7EB" w:sz="4"/>
          <w:right w:val="single" w:color="E5E7EB" w:sz="4"/>
          <w:insideH w:val="single" w:color="E5E7EB" w:sz="4"/>
          <w:insideV w:val="single" w:color="E5E7EB" w:sz="4"/>
        </w:tblBorders>
      </w:tblPr>
      <w:tblGrid>
        <w:gridCol w:w="1450"/>
        <w:gridCol w:w="4147"/>
        <w:gridCol w:w="4149"/>
      </w:tblGrid>
      <w:tr>
        <w:trPr>
          <w:cantSplit/>
          <w:tblHeader/>
        </w:trPr>
        <w:tc>
          <w:tcPr>
            <w:tcW w:type="dxa" w:w="145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
            </w:r>
          </w:p>
        </w:tc>
        <w:tc>
          <w:tcPr>
            <w:tcW w:type="dxa" w:w="4147"/>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Internal REM (reg 4)</w:t>
            </w:r>
          </w:p>
        </w:tc>
        <w:tc>
          <w:tcPr>
            <w:tcW w:type="dxa" w:w="4149"/>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External REM (reg 6)</w:t>
            </w:r>
          </w:p>
        </w:tc>
      </w:tr>
      <w:tr>
        <w:trPr>
          <w:cantSplit/>
        </w:trPr>
        <w:tc>
          <w:tcPr>
            <w:tcW w:type="dxa" w:w="145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Who</w:t>
            </w:r>
          </w:p>
        </w:tc>
        <w:tc>
          <w:tcPr>
            <w:tcW w:type="dxa" w:w="4147"/>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Your employee, registered as an energy manager and meeting reg 14</w:t>
            </w:r>
          </w:p>
        </w:tc>
        <w:tc>
          <w:tcPr>
            <w:tcW w:type="dxa" w:w="4149"/>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A registered energy manager meeting subreg 14(2) or (3), not your employee nor a related corporation’s</w:t>
            </w:r>
          </w:p>
        </w:tc>
      </w:tr>
      <w:tr>
        <w:trPr>
          <w:cantSplit/>
        </w:trPr>
        <w:tc>
          <w:tcPr>
            <w:tcW w:type="dxa" w:w="145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Duration</w:t>
            </w:r>
          </w:p>
        </w:tc>
        <w:tc>
          <w:tcPr>
            <w:tcW w:type="dxa" w:w="4147"/>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Open-ended (subject to registration and practising certificate)</w:t>
            </w:r>
          </w:p>
        </w:tc>
        <w:tc>
          <w:tcPr>
            <w:tcW w:type="dxa" w:w="4149"/>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Up to 3 years from the notice date — then internalise (reg 6(4))</w:t>
            </w:r>
          </w:p>
        </w:tc>
      </w:tr>
      <w:tr>
        <w:trPr>
          <w:cantSplit/>
        </w:trPr>
        <w:tc>
          <w:tcPr>
            <w:tcW w:type="dxa" w:w="145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Workload cap</w:t>
            </w:r>
          </w:p>
        </w:tc>
        <w:tc>
          <w:tcPr>
            <w:tcW w:type="dxa" w:w="4147"/>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May serve up to 7 other energy consumers that are related corporations of the appointer (reg 4(4))</w:t>
            </w:r>
          </w:p>
        </w:tc>
        <w:tc>
          <w:tcPr>
            <w:tcW w:type="dxa" w:w="4149"/>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May serve up to 7 other energy consumers (reg 6(3))</w:t>
            </w:r>
          </w:p>
        </w:tc>
      </w:tr>
      <w:tr>
        <w:trPr>
          <w:cantSplit/>
        </w:trPr>
        <w:tc>
          <w:tcPr>
            <w:tcW w:type="dxa" w:w="145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Notification</w:t>
            </w:r>
          </w:p>
        </w:tc>
        <w:tc>
          <w:tcPr>
            <w:tcW w:type="dxa" w:w="4147"/>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Notify the Commission electronically (reg 4(3))</w:t>
            </w:r>
          </w:p>
        </w:tc>
        <w:tc>
          <w:tcPr>
            <w:tcW w:type="dxa" w:w="4149"/>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Notify the Commission electronically (reg 6(2))</w:t>
            </w:r>
          </w:p>
        </w:tc>
      </w:tr>
      <w:tr>
        <w:trPr>
          <w:cantSplit/>
        </w:trPr>
        <w:tc>
          <w:tcPr>
            <w:tcW w:type="dxa" w:w="145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Fits when</w:t>
            </w:r>
          </w:p>
        </w:tc>
        <w:tc>
          <w:tcPr>
            <w:tcW w:type="dxa" w:w="4147"/>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You have (or can hire/train) a qualified engineer on staff; multi-site groups sharing one REM across related corporations</w:t>
            </w:r>
          </w:p>
        </w:tc>
        <w:tc>
          <w:tcPr>
            <w:tcW w:type="dxa" w:w="4149"/>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No qualified employee yet; you want the first compliance cycle run by a specialist while an internal candidate is developed</w:t>
            </w:r>
          </w:p>
        </w:tc>
      </w:tr>
    </w:tbl>
    <w:p>
      <w:pPr>
        <w:spacing w:after="140" w:line="300"/>
        <w:jc w:val="both"/>
      </w:pPr>
      <w:r>
        <w:rPr>
          <w:rFonts w:ascii="Inter" w:cs="Inter" w:eastAsia="Inter" w:hAnsi="Inter"/>
          <w:b/>
          <w:bCs/>
          <w:color w:val="111827"/>
          <w:sz w:val="20"/>
          <w:szCs w:val="20"/>
        </w:rPr>
        <w:t xml:space="preserve">Plan the handover from day one. </w:t>
      </w:r>
      <w:r>
        <w:rPr>
          <w:rFonts w:ascii="Inter" w:cs="Inter" w:eastAsia="Inter" w:hAnsi="Inter"/>
          <w:color w:val="1F2937"/>
          <w:sz w:val="20"/>
          <w:szCs w:val="20"/>
        </w:rPr>
        <w:t xml:space="preserve">If you take the external route, the three-year window is also your internal-capability deadline: identify the internal candidate early, register them (see the Commission’s Guide on Registration of Energy Manager), and let them shadow the external REM through at least one full EE&amp;C reporting cycle.</w:t>
      </w:r>
    </w:p>
    <w:p>
      <w:pPr>
        <w:keepNext/>
        <w:keepLines/>
        <w:pBdr>
          <w:bottom w:val="single" w:color="38B0F8" w:sz="12" w:space="4"/>
        </w:pBdr>
        <w:tabs>
          <w:tab w:val="left" w:pos="460"/>
        </w:tabs>
        <w:spacing w:after="180" w:before="320"/>
        <w:ind w:left="460" w:hanging="460"/>
      </w:pPr>
      <w:r>
        <w:rPr>
          <w:rFonts w:ascii="Poppins" w:cs="Poppins" w:eastAsia="Poppins" w:hAnsi="Poppins"/>
          <w:b/>
          <w:bCs/>
          <w:color w:val="38B0F8"/>
          <w:sz w:val="30"/>
          <w:szCs w:val="30"/>
        </w:rPr>
        <w:t xml:space="preserve">2</w:t>
      </w:r>
      <w:r>
        <w:rPr>
          <w:rFonts w:ascii="Poppins" w:cs="Poppins" w:eastAsia="Poppins" w:hAnsi="Poppins"/>
          <w:sz w:val="30"/>
          <w:szCs w:val="30"/>
        </w:rPr>
        <w:tab/>
      </w:r>
      <w:r>
        <w:rPr>
          <w:rFonts w:ascii="Poppins" w:cs="Poppins" w:eastAsia="Poppins" w:hAnsi="Poppins"/>
          <w:b/>
          <w:bCs/>
          <w:color w:val="111827"/>
          <w:sz w:val="30"/>
          <w:szCs w:val="30"/>
        </w:rPr>
        <w:t xml:space="preserve">Qualification tier — match the REM to your consumption</w:t>
      </w:r>
    </w:p>
    <w:tbl>
      <w:tblPr>
        <w:tblW w:type="dxa" w:w="9746"/>
        <w:tblBorders>
          <w:top w:val="single" w:color="E5E7EB" w:sz="4"/>
          <w:left w:val="single" w:color="E5E7EB" w:sz="4"/>
          <w:bottom w:val="single" w:color="E5E7EB" w:sz="4"/>
          <w:right w:val="single" w:color="E5E7EB" w:sz="4"/>
          <w:insideH w:val="single" w:color="E5E7EB" w:sz="4"/>
          <w:insideV w:val="single" w:color="E5E7EB" w:sz="4"/>
        </w:tblBorders>
      </w:tblPr>
      <w:tblGrid>
        <w:gridCol w:w="2900"/>
        <w:gridCol w:w="5008"/>
        <w:gridCol w:w="1838"/>
      </w:tblGrid>
      <w:tr>
        <w:trPr>
          <w:cantSplit/>
          <w:tblHeader/>
        </w:trPr>
        <w:tc>
          <w:tcPr>
            <w:tcW w:type="dxa" w:w="290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Your 12-month consumption</w:t>
            </w:r>
          </w:p>
        </w:tc>
        <w:tc>
          <w:tcPr>
            <w:tcW w:type="dxa" w:w="5008"/>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Required REM</w:t>
            </w:r>
          </w:p>
        </w:tc>
        <w:tc>
          <w:tcPr>
            <w:tcW w:type="dxa" w:w="1838"/>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Source</w:t>
            </w:r>
          </w:p>
        </w:tc>
      </w:tr>
      <w:tr>
        <w:trPr>
          <w:cantSplit/>
        </w:trPr>
        <w:tc>
          <w:tcPr>
            <w:tcW w:type="dxa" w:w="29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21,600 – 50,000 GJ</w:t>
            </w:r>
          </w:p>
        </w:tc>
        <w:tc>
          <w:tcPr>
            <w:tcW w:type="dxa" w:w="5008"/>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A registered energy manager who fulfils the requirements of regulation 14</w:t>
            </w:r>
          </w:p>
        </w:tc>
        <w:tc>
          <w:tcPr>
            <w:tcW w:type="dxa" w:w="1838"/>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reg 5(a)</w:t>
            </w:r>
          </w:p>
        </w:tc>
      </w:tr>
      <w:tr>
        <w:trPr>
          <w:cantSplit/>
        </w:trPr>
        <w:tc>
          <w:tcPr>
            <w:tcW w:type="dxa" w:w="29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Above 50,000 GJ</w:t>
            </w:r>
          </w:p>
        </w:tc>
        <w:tc>
          <w:tcPr>
            <w:tcW w:type="dxa" w:w="5008"/>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A registered energy manager who fulfils the requirements of subregulation 14(2) or (3)</w:t>
            </w:r>
          </w:p>
        </w:tc>
        <w:tc>
          <w:tcPr>
            <w:tcW w:type="dxa" w:w="1838"/>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reg 5(b)</w:t>
            </w:r>
          </w:p>
        </w:tc>
      </w:tr>
      <w:tr>
        <w:trPr>
          <w:cantSplit/>
        </w:trPr>
        <w:tc>
          <w:tcPr>
            <w:tcW w:type="dxa" w:w="29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External appointment (any band)</w:t>
            </w:r>
          </w:p>
        </w:tc>
        <w:tc>
          <w:tcPr>
            <w:tcW w:type="dxa" w:w="5008"/>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A registered energy manager who fulfils the requirements of subregulation 14(2) or (3)</w:t>
            </w:r>
          </w:p>
        </w:tc>
        <w:tc>
          <w:tcPr>
            <w:tcW w:type="dxa" w:w="1838"/>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reg 6(1)</w:t>
            </w:r>
          </w:p>
        </w:tc>
      </w:tr>
    </w:tbl>
    <w:p>
      <w:pPr>
        <w:spacing w:after="160"/>
        <w:jc w:val="left"/>
      </w:pPr>
      <w:r>
        <w:rPr>
          <w:rFonts w:ascii="Inter" w:cs="Inter" w:eastAsia="Inter" w:hAnsi="Inter"/>
          <w:i/>
          <w:iCs/>
          <w:color w:val="6B7280"/>
          <w:sz w:val="18"/>
          <w:szCs w:val="18"/>
        </w:rPr>
        <w:t xml:space="preserve">Practical consequence: an external REM must hold the higher reg 14(2)/(3) qualification regardless of your band, and any consumer above 50,000 GJ needs that tier even internally. Verify the candidate’s registration class and practising certificate on the Commission’s public REM register before appointing.</w:t>
      </w:r>
    </w:p>
    <w:p>
      <w:pPr>
        <w:keepNext/>
        <w:keepLines/>
        <w:pBdr>
          <w:bottom w:val="single" w:color="38B0F8" w:sz="12" w:space="4"/>
        </w:pBdr>
        <w:tabs>
          <w:tab w:val="left" w:pos="460"/>
        </w:tabs>
        <w:spacing w:after="180" w:before="320"/>
        <w:ind w:left="460" w:hanging="460"/>
      </w:pPr>
      <w:r>
        <w:rPr>
          <w:rFonts w:ascii="Poppins" w:cs="Poppins" w:eastAsia="Poppins" w:hAnsi="Poppins"/>
          <w:b/>
          <w:bCs/>
          <w:color w:val="38B0F8"/>
          <w:sz w:val="30"/>
          <w:szCs w:val="30"/>
        </w:rPr>
        <w:t xml:space="preserve">3</w:t>
      </w:r>
      <w:r>
        <w:rPr>
          <w:rFonts w:ascii="Poppins" w:cs="Poppins" w:eastAsia="Poppins" w:hAnsi="Poppins"/>
          <w:sz w:val="30"/>
          <w:szCs w:val="30"/>
        </w:rPr>
        <w:tab/>
      </w:r>
      <w:r>
        <w:rPr>
          <w:rFonts w:ascii="Poppins" w:cs="Poppins" w:eastAsia="Poppins" w:hAnsi="Poppins"/>
          <w:b/>
          <w:bCs/>
          <w:color w:val="111827"/>
          <w:sz w:val="30"/>
          <w:szCs w:val="30"/>
        </w:rPr>
        <w:t xml:space="preserve">Appointment checklist — internal route (reg 4)</w:t>
      </w:r>
    </w:p>
    <w:tbl>
      <w:tblPr>
        <w:tblW w:type="dxa" w:w="9746"/>
        <w:tblBorders>
          <w:top w:val="single" w:color="E5E7EB" w:sz="4"/>
          <w:left w:val="single" w:color="E5E7EB" w:sz="4"/>
          <w:bottom w:val="single" w:color="E5E7EB" w:sz="4"/>
          <w:right w:val="single" w:color="E5E7EB" w:sz="4"/>
          <w:insideH w:val="single" w:color="E5E7EB" w:sz="4"/>
          <w:insideV w:val="single" w:color="E5E7EB" w:sz="4"/>
        </w:tblBorders>
      </w:tblPr>
      <w:tblGrid>
        <w:gridCol w:w="580"/>
        <w:gridCol w:w="9166"/>
      </w:tblGrid>
      <w:tr>
        <w:trPr>
          <w:cantSplit/>
        </w:trPr>
        <w:tc>
          <w:tcPr>
            <w:tcW w:type="dxa" w:w="580"/>
            <w:tcMar>
              <w:top w:type="dxa" w:w="70"/>
              <w:left w:type="dxa" w:w="100"/>
              <w:bottom w:type="dxa" w:w="70"/>
              <w:right w:type="dxa" w:w="100"/>
            </w:tcMar>
            <w:vAlign w:val="top"/>
          </w:tcPr>
          <w:p>
            <w:pPr>
              <w:spacing w:after="0"/>
            </w:pPr>
            <w:r>
              <w:rPr>
                <w:rFonts w:ascii="Inter" w:cs="Inter" w:eastAsia="Inter" w:hAnsi="Inter"/>
                <w:color w:val="1F2937"/>
                <w:sz w:val="22"/>
                <w:szCs w:val="22"/>
              </w:rPr>
              <w:t xml:space="preserve">☐</w:t>
            </w:r>
          </w:p>
        </w:tc>
        <w:tc>
          <w:tcPr>
            <w:tcW w:type="dxa" w:w="9166"/>
            <w:tcMar>
              <w:top w:type="dxa" w:w="70"/>
              <w:left w:type="dxa" w:w="100"/>
              <w:bottom w:type="dxa" w:w="70"/>
              <w:right w:type="dxa" w:w="100"/>
            </w:tcMar>
            <w:vAlign w:val="top"/>
          </w:tcPr>
          <w:p>
            <w:pPr>
              <w:spacing w:after="30" w:line="250"/>
            </w:pPr>
            <w:r>
              <w:rPr>
                <w:rFonts w:ascii="Inter" w:cs="Inter" w:eastAsia="Inter" w:hAnsi="Inter"/>
                <w:color w:val="1F2937"/>
                <w:sz w:val="18"/>
                <w:szCs w:val="18"/>
              </w:rPr>
              <w:t xml:space="preserve">Confirm the s.3(3) notice date and diarise notice + 3 months as the appointment deadline.</w:t>
            </w:r>
          </w:p>
          <w:p>
            <w:pPr>
              <w:spacing w:after="0"/>
            </w:pPr>
            <w:r>
              <w:rPr>
                <w:rFonts w:ascii="Inter" w:cs="Inter" w:eastAsia="Inter" w:hAnsi="Inter"/>
                <w:i/>
                <w:iCs/>
                <w:color w:val="6B7280"/>
                <w:sz w:val="15"/>
                <w:szCs w:val="15"/>
              </w:rPr>
              <w:t xml:space="preserve">reg 4(2) — penalty for no appointment: s.5(3), fine up to RM50,000</w:t>
            </w:r>
          </w:p>
        </w:tc>
      </w:tr>
      <w:tr>
        <w:trPr>
          <w:cantSplit/>
        </w:trPr>
        <w:tc>
          <w:tcPr>
            <w:tcW w:type="dxa" w:w="580"/>
            <w:tcMar>
              <w:top w:type="dxa" w:w="70"/>
              <w:left w:type="dxa" w:w="100"/>
              <w:bottom w:type="dxa" w:w="70"/>
              <w:right w:type="dxa" w:w="100"/>
            </w:tcMar>
            <w:vAlign w:val="top"/>
          </w:tcPr>
          <w:p>
            <w:pPr>
              <w:spacing w:after="0"/>
            </w:pPr>
            <w:r>
              <w:rPr>
                <w:rFonts w:ascii="Inter" w:cs="Inter" w:eastAsia="Inter" w:hAnsi="Inter"/>
                <w:color w:val="1F2937"/>
                <w:sz w:val="22"/>
                <w:szCs w:val="22"/>
              </w:rPr>
              <w:t xml:space="preserve">☐</w:t>
            </w:r>
          </w:p>
        </w:tc>
        <w:tc>
          <w:tcPr>
            <w:tcW w:type="dxa" w:w="9166"/>
            <w:tcMar>
              <w:top w:type="dxa" w:w="70"/>
              <w:left w:type="dxa" w:w="100"/>
              <w:bottom w:type="dxa" w:w="70"/>
              <w:right w:type="dxa" w:w="100"/>
            </w:tcMar>
            <w:vAlign w:val="top"/>
          </w:tcPr>
          <w:p>
            <w:pPr>
              <w:spacing w:after="30" w:line="250"/>
            </w:pPr>
            <w:r>
              <w:rPr>
                <w:rFonts w:ascii="Inter" w:cs="Inter" w:eastAsia="Inter" w:hAnsi="Inter"/>
                <w:color w:val="1F2937"/>
                <w:sz w:val="18"/>
                <w:szCs w:val="18"/>
              </w:rPr>
              <w:t xml:space="preserve">Identify the candidate among employees; verify registration and tier against your consumption band (Section 2) on the ST public register; confirm the practising certificate expiry date.</w:t>
            </w:r>
          </w:p>
          <w:p>
            <w:pPr>
              <w:spacing w:after="0"/>
            </w:pPr>
            <w:r>
              <w:rPr>
                <w:rFonts w:ascii="Inter" w:cs="Inter" w:eastAsia="Inter" w:hAnsi="Inter"/>
                <w:i/>
                <w:iCs/>
                <w:color w:val="6B7280"/>
                <w:sz w:val="15"/>
                <w:szCs w:val="15"/>
              </w:rPr>
              <w:t xml:space="preserve">regs 4(1), 5, 14</w:t>
            </w:r>
          </w:p>
        </w:tc>
      </w:tr>
      <w:tr>
        <w:trPr>
          <w:cantSplit/>
        </w:trPr>
        <w:tc>
          <w:tcPr>
            <w:tcW w:type="dxa" w:w="580"/>
            <w:tcMar>
              <w:top w:type="dxa" w:w="70"/>
              <w:left w:type="dxa" w:w="100"/>
              <w:bottom w:type="dxa" w:w="70"/>
              <w:right w:type="dxa" w:w="100"/>
            </w:tcMar>
            <w:vAlign w:val="top"/>
          </w:tcPr>
          <w:p>
            <w:pPr>
              <w:spacing w:after="0"/>
            </w:pPr>
            <w:r>
              <w:rPr>
                <w:rFonts w:ascii="Inter" w:cs="Inter" w:eastAsia="Inter" w:hAnsi="Inter"/>
                <w:color w:val="1F2937"/>
                <w:sz w:val="22"/>
                <w:szCs w:val="22"/>
              </w:rPr>
              <w:t xml:space="preserve">☐</w:t>
            </w:r>
          </w:p>
        </w:tc>
        <w:tc>
          <w:tcPr>
            <w:tcW w:type="dxa" w:w="9166"/>
            <w:tcMar>
              <w:top w:type="dxa" w:w="70"/>
              <w:left w:type="dxa" w:w="100"/>
              <w:bottom w:type="dxa" w:w="70"/>
              <w:right w:type="dxa" w:w="100"/>
            </w:tcMar>
            <w:vAlign w:val="top"/>
          </w:tcPr>
          <w:p>
            <w:pPr>
              <w:spacing w:after="30" w:line="250"/>
            </w:pPr>
            <w:r>
              <w:rPr>
                <w:rFonts w:ascii="Inter" w:cs="Inter" w:eastAsia="Inter" w:hAnsi="Inter"/>
                <w:color w:val="1F2937"/>
                <w:sz w:val="18"/>
                <w:szCs w:val="18"/>
              </w:rPr>
              <w:t xml:space="preserve">If the candidate will also serve other group companies: list every other energy consumer served; confirm all are related corporations (Companies Act 2016 meaning) and the total does not exceed 7 others.</w:t>
            </w:r>
          </w:p>
          <w:p>
            <w:pPr>
              <w:spacing w:after="0"/>
            </w:pPr>
            <w:r>
              <w:rPr>
                <w:rFonts w:ascii="Inter" w:cs="Inter" w:eastAsia="Inter" w:hAnsi="Inter"/>
                <w:i/>
                <w:iCs/>
                <w:color w:val="6B7280"/>
                <w:sz w:val="15"/>
                <w:szCs w:val="15"/>
              </w:rPr>
              <w:t xml:space="preserve">reg 4(4)</w:t>
            </w:r>
          </w:p>
        </w:tc>
      </w:tr>
      <w:tr>
        <w:trPr>
          <w:cantSplit/>
        </w:trPr>
        <w:tc>
          <w:tcPr>
            <w:tcW w:type="dxa" w:w="580"/>
            <w:tcMar>
              <w:top w:type="dxa" w:w="70"/>
              <w:left w:type="dxa" w:w="100"/>
              <w:bottom w:type="dxa" w:w="70"/>
              <w:right w:type="dxa" w:w="100"/>
            </w:tcMar>
            <w:vAlign w:val="top"/>
          </w:tcPr>
          <w:p>
            <w:pPr>
              <w:spacing w:after="0"/>
            </w:pPr>
            <w:r>
              <w:rPr>
                <w:rFonts w:ascii="Inter" w:cs="Inter" w:eastAsia="Inter" w:hAnsi="Inter"/>
                <w:color w:val="1F2937"/>
                <w:sz w:val="22"/>
                <w:szCs w:val="22"/>
              </w:rPr>
              <w:t xml:space="preserve">☐</w:t>
            </w:r>
          </w:p>
        </w:tc>
        <w:tc>
          <w:tcPr>
            <w:tcW w:type="dxa" w:w="9166"/>
            <w:tcMar>
              <w:top w:type="dxa" w:w="70"/>
              <w:left w:type="dxa" w:w="100"/>
              <w:bottom w:type="dxa" w:w="70"/>
              <w:right w:type="dxa" w:w="100"/>
            </w:tcMar>
            <w:vAlign w:val="top"/>
          </w:tcPr>
          <w:p>
            <w:pPr>
              <w:spacing w:after="30" w:line="250"/>
            </w:pPr>
            <w:r>
              <w:rPr>
                <w:rFonts w:ascii="Inter" w:cs="Inter" w:eastAsia="Inter" w:hAnsi="Inter"/>
                <w:color w:val="1F2937"/>
                <w:sz w:val="18"/>
                <w:szCs w:val="18"/>
              </w:rPr>
              <w:t xml:space="preserve">Issue the letter of appointment (adapt C3 para. 2 wording to the REM role); define the REM’s s.5(2) functions and reporting line to the Committee.</w:t>
            </w:r>
          </w:p>
          <w:p>
            <w:pPr>
              <w:spacing w:after="0"/>
            </w:pPr>
            <w:r>
              <w:rPr>
                <w:rFonts w:ascii="Inter" w:cs="Inter" w:eastAsia="Inter" w:hAnsi="Inter"/>
                <w:i/>
                <w:iCs/>
                <w:color w:val="6B7280"/>
                <w:sz w:val="15"/>
                <w:szCs w:val="15"/>
              </w:rPr>
              <w:t xml:space="preserve">Act s.5(2); GP47</w:t>
            </w:r>
          </w:p>
        </w:tc>
      </w:tr>
      <w:tr>
        <w:trPr>
          <w:cantSplit/>
        </w:trPr>
        <w:tc>
          <w:tcPr>
            <w:tcW w:type="dxa" w:w="580"/>
            <w:tcMar>
              <w:top w:type="dxa" w:w="70"/>
              <w:left w:type="dxa" w:w="100"/>
              <w:bottom w:type="dxa" w:w="70"/>
              <w:right w:type="dxa" w:w="100"/>
            </w:tcMar>
            <w:vAlign w:val="top"/>
          </w:tcPr>
          <w:p>
            <w:pPr>
              <w:spacing w:after="0"/>
            </w:pPr>
            <w:r>
              <w:rPr>
                <w:rFonts w:ascii="Inter" w:cs="Inter" w:eastAsia="Inter" w:hAnsi="Inter"/>
                <w:color w:val="1F2937"/>
                <w:sz w:val="22"/>
                <w:szCs w:val="22"/>
              </w:rPr>
              <w:t xml:space="preserve">☐</w:t>
            </w:r>
          </w:p>
        </w:tc>
        <w:tc>
          <w:tcPr>
            <w:tcW w:type="dxa" w:w="9166"/>
            <w:tcMar>
              <w:top w:type="dxa" w:w="70"/>
              <w:left w:type="dxa" w:w="100"/>
              <w:bottom w:type="dxa" w:w="70"/>
              <w:right w:type="dxa" w:w="100"/>
            </w:tcMar>
            <w:vAlign w:val="top"/>
          </w:tcPr>
          <w:p>
            <w:pPr>
              <w:spacing w:after="30" w:line="250"/>
            </w:pPr>
            <w:r>
              <w:rPr>
                <w:rFonts w:ascii="Inter" w:cs="Inter" w:eastAsia="Inter" w:hAnsi="Inter"/>
                <w:color w:val="1F2937"/>
                <w:sz w:val="18"/>
                <w:szCs w:val="18"/>
              </w:rPr>
              <w:t xml:space="preserve">Notify the Commission of the appointment by electronic means; file the acknowledgement.</w:t>
            </w:r>
          </w:p>
          <w:p>
            <w:pPr>
              <w:spacing w:after="0"/>
            </w:pPr>
            <w:r>
              <w:rPr>
                <w:rFonts w:ascii="Inter" w:cs="Inter" w:eastAsia="Inter" w:hAnsi="Inter"/>
                <w:i/>
                <w:iCs/>
                <w:color w:val="6B7280"/>
                <w:sz w:val="15"/>
                <w:szCs w:val="15"/>
              </w:rPr>
              <w:t xml:space="preserve">reg 4(3)</w:t>
            </w:r>
          </w:p>
        </w:tc>
      </w:tr>
      <w:tr>
        <w:trPr>
          <w:cantSplit/>
        </w:trPr>
        <w:tc>
          <w:tcPr>
            <w:tcW w:type="dxa" w:w="580"/>
            <w:tcMar>
              <w:top w:type="dxa" w:w="70"/>
              <w:left w:type="dxa" w:w="100"/>
              <w:bottom w:type="dxa" w:w="70"/>
              <w:right w:type="dxa" w:w="100"/>
            </w:tcMar>
            <w:vAlign w:val="top"/>
          </w:tcPr>
          <w:p>
            <w:pPr>
              <w:spacing w:after="0"/>
            </w:pPr>
            <w:r>
              <w:rPr>
                <w:rFonts w:ascii="Inter" w:cs="Inter" w:eastAsia="Inter" w:hAnsi="Inter"/>
                <w:color w:val="1F2937"/>
                <w:sz w:val="22"/>
                <w:szCs w:val="22"/>
              </w:rPr>
              <w:t xml:space="preserve">☐</w:t>
            </w:r>
          </w:p>
        </w:tc>
        <w:tc>
          <w:tcPr>
            <w:tcW w:type="dxa" w:w="9166"/>
            <w:tcMar>
              <w:top w:type="dxa" w:w="70"/>
              <w:left w:type="dxa" w:w="100"/>
              <w:bottom w:type="dxa" w:w="70"/>
              <w:right w:type="dxa" w:w="100"/>
            </w:tcMar>
            <w:vAlign w:val="top"/>
          </w:tcPr>
          <w:p>
            <w:pPr>
              <w:spacing w:after="30" w:line="250"/>
            </w:pPr>
            <w:r>
              <w:rPr>
                <w:rFonts w:ascii="Inter" w:cs="Inter" w:eastAsia="Inter" w:hAnsi="Inter"/>
                <w:color w:val="1F2937"/>
                <w:sz w:val="18"/>
                <w:szCs w:val="18"/>
              </w:rPr>
              <w:t xml:space="preserve">Record the appointment date here — it anchors the reg 8 EnMS deadline and the reg 9 EE&amp;C report cycle:  ____________</w:t>
            </w:r>
          </w:p>
          <w:p>
            <w:pPr>
              <w:spacing w:after="0"/>
            </w:pPr>
            <w:r>
              <w:rPr>
                <w:rFonts w:ascii="Inter" w:cs="Inter" w:eastAsia="Inter" w:hAnsi="Inter"/>
                <w:i/>
                <w:iCs/>
                <w:color w:val="6B7280"/>
                <w:sz w:val="15"/>
                <w:szCs w:val="15"/>
              </w:rPr>
              <w:t xml:space="preserve">regs 8, 9</w:t>
            </w:r>
          </w:p>
        </w:tc>
      </w:tr>
      <w:tr>
        <w:trPr>
          <w:cantSplit/>
        </w:trPr>
        <w:tc>
          <w:tcPr>
            <w:tcW w:type="dxa" w:w="580"/>
            <w:tcMar>
              <w:top w:type="dxa" w:w="70"/>
              <w:left w:type="dxa" w:w="100"/>
              <w:bottom w:type="dxa" w:w="70"/>
              <w:right w:type="dxa" w:w="100"/>
            </w:tcMar>
            <w:vAlign w:val="top"/>
          </w:tcPr>
          <w:p>
            <w:pPr>
              <w:spacing w:after="0"/>
            </w:pPr>
            <w:r>
              <w:rPr>
                <w:rFonts w:ascii="Inter" w:cs="Inter" w:eastAsia="Inter" w:hAnsi="Inter"/>
                <w:color w:val="1F2937"/>
                <w:sz w:val="22"/>
                <w:szCs w:val="22"/>
              </w:rPr>
              <w:t xml:space="preserve">☐</w:t>
            </w:r>
          </w:p>
        </w:tc>
        <w:tc>
          <w:tcPr>
            <w:tcW w:type="dxa" w:w="9166"/>
            <w:tcMar>
              <w:top w:type="dxa" w:w="70"/>
              <w:left w:type="dxa" w:w="100"/>
              <w:bottom w:type="dxa" w:w="70"/>
              <w:right w:type="dxa" w:w="100"/>
            </w:tcMar>
            <w:vAlign w:val="top"/>
          </w:tcPr>
          <w:p>
            <w:pPr>
              <w:spacing w:after="30" w:line="250"/>
            </w:pPr>
            <w:r>
              <w:rPr>
                <w:rFonts w:ascii="Inter" w:cs="Inter" w:eastAsia="Inter" w:hAnsi="Inter"/>
                <w:color w:val="1F2937"/>
                <w:sz w:val="18"/>
                <w:szCs w:val="18"/>
              </w:rPr>
              <w:t xml:space="preserve">Hand the REM the obligations register (C4) and the data collection plan (C7); the REM must collect and analyse at least twelve consecutive months of consumption data from before the appointment.</w:t>
            </w:r>
          </w:p>
          <w:p>
            <w:pPr>
              <w:spacing w:after="0"/>
            </w:pPr>
            <w:r>
              <w:rPr>
                <w:rFonts w:ascii="Inter" w:cs="Inter" w:eastAsia="Inter" w:hAnsi="Inter"/>
                <w:i/>
                <w:iCs/>
                <w:color w:val="6B7280"/>
                <w:sz w:val="15"/>
                <w:szCs w:val="15"/>
              </w:rPr>
              <w:t xml:space="preserve">GP47 para. 3(a)(i)(B)</w:t>
            </w:r>
          </w:p>
        </w:tc>
      </w:tr>
    </w:tbl>
    <w:p>
      <w:pPr>
        <w:keepNext/>
        <w:keepLines/>
        <w:pBdr>
          <w:bottom w:val="single" w:color="38B0F8" w:sz="12" w:space="4"/>
        </w:pBdr>
        <w:tabs>
          <w:tab w:val="left" w:pos="460"/>
        </w:tabs>
        <w:spacing w:after="180" w:before="320"/>
        <w:ind w:left="460" w:hanging="460"/>
      </w:pPr>
      <w:r>
        <w:rPr>
          <w:rFonts w:ascii="Poppins" w:cs="Poppins" w:eastAsia="Poppins" w:hAnsi="Poppins"/>
          <w:b/>
          <w:bCs/>
          <w:color w:val="38B0F8"/>
          <w:sz w:val="30"/>
          <w:szCs w:val="30"/>
        </w:rPr>
        <w:t xml:space="preserve">4</w:t>
      </w:r>
      <w:r>
        <w:rPr>
          <w:rFonts w:ascii="Poppins" w:cs="Poppins" w:eastAsia="Poppins" w:hAnsi="Poppins"/>
          <w:sz w:val="30"/>
          <w:szCs w:val="30"/>
        </w:rPr>
        <w:tab/>
      </w:r>
      <w:r>
        <w:rPr>
          <w:rFonts w:ascii="Poppins" w:cs="Poppins" w:eastAsia="Poppins" w:hAnsi="Poppins"/>
          <w:b/>
          <w:bCs/>
          <w:color w:val="111827"/>
          <w:sz w:val="30"/>
          <w:szCs w:val="30"/>
        </w:rPr>
        <w:t xml:space="preserve">Appointment checklist — external route (reg 6)</w:t>
      </w:r>
    </w:p>
    <w:tbl>
      <w:tblPr>
        <w:tblW w:type="dxa" w:w="9746"/>
        <w:tblBorders>
          <w:top w:val="single" w:color="E5E7EB" w:sz="4"/>
          <w:left w:val="single" w:color="E5E7EB" w:sz="4"/>
          <w:bottom w:val="single" w:color="E5E7EB" w:sz="4"/>
          <w:right w:val="single" w:color="E5E7EB" w:sz="4"/>
          <w:insideH w:val="single" w:color="E5E7EB" w:sz="4"/>
          <w:insideV w:val="single" w:color="E5E7EB" w:sz="4"/>
        </w:tblBorders>
      </w:tblPr>
      <w:tblGrid>
        <w:gridCol w:w="580"/>
        <w:gridCol w:w="9166"/>
      </w:tblGrid>
      <w:tr>
        <w:trPr>
          <w:cantSplit/>
        </w:trPr>
        <w:tc>
          <w:tcPr>
            <w:tcW w:type="dxa" w:w="580"/>
            <w:tcMar>
              <w:top w:type="dxa" w:w="70"/>
              <w:left w:type="dxa" w:w="100"/>
              <w:bottom w:type="dxa" w:w="70"/>
              <w:right w:type="dxa" w:w="100"/>
            </w:tcMar>
            <w:vAlign w:val="top"/>
          </w:tcPr>
          <w:p>
            <w:pPr>
              <w:spacing w:after="0"/>
            </w:pPr>
            <w:r>
              <w:rPr>
                <w:rFonts w:ascii="Inter" w:cs="Inter" w:eastAsia="Inter" w:hAnsi="Inter"/>
                <w:color w:val="1F2937"/>
                <w:sz w:val="22"/>
                <w:szCs w:val="22"/>
              </w:rPr>
              <w:t xml:space="preserve">☐</w:t>
            </w:r>
          </w:p>
        </w:tc>
        <w:tc>
          <w:tcPr>
            <w:tcW w:type="dxa" w:w="9166"/>
            <w:tcMar>
              <w:top w:type="dxa" w:w="70"/>
              <w:left w:type="dxa" w:w="100"/>
              <w:bottom w:type="dxa" w:w="70"/>
              <w:right w:type="dxa" w:w="100"/>
            </w:tcMar>
            <w:vAlign w:val="top"/>
          </w:tcPr>
          <w:p>
            <w:pPr>
              <w:spacing w:after="30" w:line="250"/>
            </w:pPr>
            <w:r>
              <w:rPr>
                <w:rFonts w:ascii="Inter" w:cs="Inter" w:eastAsia="Inter" w:hAnsi="Inter"/>
                <w:color w:val="1F2937"/>
                <w:sz w:val="18"/>
                <w:szCs w:val="18"/>
              </w:rPr>
              <w:t xml:space="preserve">Confirm the s.3(3) notice date. Compute and diarise BOTH clocks: appointment due at notice + 3 months; external window ends at notice + 3 years.</w:t>
            </w:r>
          </w:p>
          <w:p>
            <w:pPr>
              <w:spacing w:after="0"/>
            </w:pPr>
            <w:r>
              <w:rPr>
                <w:rFonts w:ascii="Inter" w:cs="Inter" w:eastAsia="Inter" w:hAnsi="Inter"/>
                <w:i/>
                <w:iCs/>
                <w:color w:val="6B7280"/>
                <w:sz w:val="15"/>
                <w:szCs w:val="15"/>
              </w:rPr>
              <w:t xml:space="preserve">regs 4(2), 6(1)</w:t>
            </w:r>
          </w:p>
        </w:tc>
      </w:tr>
      <w:tr>
        <w:trPr>
          <w:cantSplit/>
        </w:trPr>
        <w:tc>
          <w:tcPr>
            <w:tcW w:type="dxa" w:w="580"/>
            <w:tcMar>
              <w:top w:type="dxa" w:w="70"/>
              <w:left w:type="dxa" w:w="100"/>
              <w:bottom w:type="dxa" w:w="70"/>
              <w:right w:type="dxa" w:w="100"/>
            </w:tcMar>
            <w:vAlign w:val="top"/>
          </w:tcPr>
          <w:p>
            <w:pPr>
              <w:spacing w:after="0"/>
            </w:pPr>
            <w:r>
              <w:rPr>
                <w:rFonts w:ascii="Inter" w:cs="Inter" w:eastAsia="Inter" w:hAnsi="Inter"/>
                <w:color w:val="1F2937"/>
                <w:sz w:val="22"/>
                <w:szCs w:val="22"/>
              </w:rPr>
              <w:t xml:space="preserve">☐</w:t>
            </w:r>
          </w:p>
        </w:tc>
        <w:tc>
          <w:tcPr>
            <w:tcW w:type="dxa" w:w="9166"/>
            <w:tcMar>
              <w:top w:type="dxa" w:w="70"/>
              <w:left w:type="dxa" w:w="100"/>
              <w:bottom w:type="dxa" w:w="70"/>
              <w:right w:type="dxa" w:w="100"/>
            </w:tcMar>
            <w:vAlign w:val="top"/>
          </w:tcPr>
          <w:p>
            <w:pPr>
              <w:spacing w:after="30" w:line="250"/>
            </w:pPr>
            <w:r>
              <w:rPr>
                <w:rFonts w:ascii="Inter" w:cs="Inter" w:eastAsia="Inter" w:hAnsi="Inter"/>
                <w:color w:val="1F2937"/>
                <w:sz w:val="18"/>
                <w:szCs w:val="18"/>
              </w:rPr>
              <w:t xml:space="preserve">Verify the external candidate: registration under subreg 14(2) or (3); practising certificate current; not your employee nor an employee of any related corporation.</w:t>
            </w:r>
          </w:p>
          <w:p>
            <w:pPr>
              <w:spacing w:after="0"/>
            </w:pPr>
            <w:r>
              <w:rPr>
                <w:rFonts w:ascii="Inter" w:cs="Inter" w:eastAsia="Inter" w:hAnsi="Inter"/>
                <w:i/>
                <w:iCs/>
                <w:color w:val="6B7280"/>
                <w:sz w:val="15"/>
                <w:szCs w:val="15"/>
              </w:rPr>
              <w:t xml:space="preserve">reg 6(1)</w:t>
            </w:r>
          </w:p>
        </w:tc>
      </w:tr>
      <w:tr>
        <w:trPr>
          <w:cantSplit/>
        </w:trPr>
        <w:tc>
          <w:tcPr>
            <w:tcW w:type="dxa" w:w="580"/>
            <w:tcMar>
              <w:top w:type="dxa" w:w="70"/>
              <w:left w:type="dxa" w:w="100"/>
              <w:bottom w:type="dxa" w:w="70"/>
              <w:right w:type="dxa" w:w="100"/>
            </w:tcMar>
            <w:vAlign w:val="top"/>
          </w:tcPr>
          <w:p>
            <w:pPr>
              <w:spacing w:after="0"/>
            </w:pPr>
            <w:r>
              <w:rPr>
                <w:rFonts w:ascii="Inter" w:cs="Inter" w:eastAsia="Inter" w:hAnsi="Inter"/>
                <w:color w:val="1F2937"/>
                <w:sz w:val="22"/>
                <w:szCs w:val="22"/>
              </w:rPr>
              <w:t xml:space="preserve">☐</w:t>
            </w:r>
          </w:p>
        </w:tc>
        <w:tc>
          <w:tcPr>
            <w:tcW w:type="dxa" w:w="9166"/>
            <w:tcMar>
              <w:top w:type="dxa" w:w="70"/>
              <w:left w:type="dxa" w:w="100"/>
              <w:bottom w:type="dxa" w:w="70"/>
              <w:right w:type="dxa" w:w="100"/>
            </w:tcMar>
            <w:vAlign w:val="top"/>
          </w:tcPr>
          <w:p>
            <w:pPr>
              <w:spacing w:after="30" w:line="250"/>
            </w:pPr>
            <w:r>
              <w:rPr>
                <w:rFonts w:ascii="Inter" w:cs="Inter" w:eastAsia="Inter" w:hAnsi="Inter"/>
                <w:color w:val="1F2937"/>
                <w:sz w:val="18"/>
                <w:szCs w:val="18"/>
              </w:rPr>
              <w:t xml:space="preserve">Ask the candidate to declare every other energy consumer they currently serve — the cap is 7 others. Get the declaration in writing and re-confirm annually.</w:t>
            </w:r>
          </w:p>
          <w:p>
            <w:pPr>
              <w:spacing w:after="0"/>
            </w:pPr>
            <w:r>
              <w:rPr>
                <w:rFonts w:ascii="Inter" w:cs="Inter" w:eastAsia="Inter" w:hAnsi="Inter"/>
                <w:i/>
                <w:iCs/>
                <w:color w:val="6B7280"/>
                <w:sz w:val="15"/>
                <w:szCs w:val="15"/>
              </w:rPr>
              <w:t xml:space="preserve">reg 6(3)</w:t>
            </w:r>
          </w:p>
        </w:tc>
      </w:tr>
      <w:tr>
        <w:trPr>
          <w:cantSplit/>
        </w:trPr>
        <w:tc>
          <w:tcPr>
            <w:tcW w:type="dxa" w:w="580"/>
            <w:tcMar>
              <w:top w:type="dxa" w:w="70"/>
              <w:left w:type="dxa" w:w="100"/>
              <w:bottom w:type="dxa" w:w="70"/>
              <w:right w:type="dxa" w:w="100"/>
            </w:tcMar>
            <w:vAlign w:val="top"/>
          </w:tcPr>
          <w:p>
            <w:pPr>
              <w:spacing w:after="0"/>
            </w:pPr>
            <w:r>
              <w:rPr>
                <w:rFonts w:ascii="Inter" w:cs="Inter" w:eastAsia="Inter" w:hAnsi="Inter"/>
                <w:color w:val="1F2937"/>
                <w:sz w:val="22"/>
                <w:szCs w:val="22"/>
              </w:rPr>
              <w:t xml:space="preserve">☐</w:t>
            </w:r>
          </w:p>
        </w:tc>
        <w:tc>
          <w:tcPr>
            <w:tcW w:type="dxa" w:w="9166"/>
            <w:tcMar>
              <w:top w:type="dxa" w:w="70"/>
              <w:left w:type="dxa" w:w="100"/>
              <w:bottom w:type="dxa" w:w="70"/>
              <w:right w:type="dxa" w:w="100"/>
            </w:tcMar>
            <w:vAlign w:val="top"/>
          </w:tcPr>
          <w:p>
            <w:pPr>
              <w:spacing w:after="30" w:line="250"/>
            </w:pPr>
            <w:r>
              <w:rPr>
                <w:rFonts w:ascii="Inter" w:cs="Inter" w:eastAsia="Inter" w:hAnsi="Inter"/>
                <w:color w:val="1F2937"/>
                <w:sz w:val="18"/>
                <w:szCs w:val="18"/>
              </w:rPr>
              <w:t xml:space="preserve">Contract for the engagement: scope = the s.5(2) statutory functions plus GP47 duties (Committee support, data collection plan, EE&amp;C report preparation, M&amp;V proposals); term ≤ the remaining reg 6 window; handover and internalisation obligations written in.</w:t>
            </w:r>
          </w:p>
          <w:p>
            <w:pPr>
              <w:spacing w:after="0"/>
            </w:pPr>
            <w:r>
              <w:rPr>
                <w:rFonts w:ascii="Inter" w:cs="Inter" w:eastAsia="Inter" w:hAnsi="Inter"/>
                <w:i/>
                <w:iCs/>
                <w:color w:val="6B7280"/>
                <w:sz w:val="15"/>
                <w:szCs w:val="15"/>
              </w:rPr>
              <w:t xml:space="preserve">Act s.5(2); GP47; reg 6(4)</w:t>
            </w:r>
          </w:p>
        </w:tc>
      </w:tr>
      <w:tr>
        <w:trPr>
          <w:cantSplit/>
        </w:trPr>
        <w:tc>
          <w:tcPr>
            <w:tcW w:type="dxa" w:w="580"/>
            <w:tcMar>
              <w:top w:type="dxa" w:w="70"/>
              <w:left w:type="dxa" w:w="100"/>
              <w:bottom w:type="dxa" w:w="70"/>
              <w:right w:type="dxa" w:w="100"/>
            </w:tcMar>
            <w:vAlign w:val="top"/>
          </w:tcPr>
          <w:p>
            <w:pPr>
              <w:spacing w:after="0"/>
            </w:pPr>
            <w:r>
              <w:rPr>
                <w:rFonts w:ascii="Inter" w:cs="Inter" w:eastAsia="Inter" w:hAnsi="Inter"/>
                <w:color w:val="1F2937"/>
                <w:sz w:val="22"/>
                <w:szCs w:val="22"/>
              </w:rPr>
              <w:t xml:space="preserve">☐</w:t>
            </w:r>
          </w:p>
        </w:tc>
        <w:tc>
          <w:tcPr>
            <w:tcW w:type="dxa" w:w="9166"/>
            <w:tcMar>
              <w:top w:type="dxa" w:w="70"/>
              <w:left w:type="dxa" w:w="100"/>
              <w:bottom w:type="dxa" w:w="70"/>
              <w:right w:type="dxa" w:w="100"/>
            </w:tcMar>
            <w:vAlign w:val="top"/>
          </w:tcPr>
          <w:p>
            <w:pPr>
              <w:spacing w:after="30" w:line="250"/>
            </w:pPr>
            <w:r>
              <w:rPr>
                <w:rFonts w:ascii="Inter" w:cs="Inter" w:eastAsia="Inter" w:hAnsi="Inter"/>
                <w:color w:val="1F2937"/>
                <w:sz w:val="18"/>
                <w:szCs w:val="18"/>
              </w:rPr>
              <w:t xml:space="preserve">Notify the Commission of the appointment by electronic means; file the acknowledgement.</w:t>
            </w:r>
          </w:p>
          <w:p>
            <w:pPr>
              <w:spacing w:after="0"/>
            </w:pPr>
            <w:r>
              <w:rPr>
                <w:rFonts w:ascii="Inter" w:cs="Inter" w:eastAsia="Inter" w:hAnsi="Inter"/>
                <w:i/>
                <w:iCs/>
                <w:color w:val="6B7280"/>
                <w:sz w:val="15"/>
                <w:szCs w:val="15"/>
              </w:rPr>
              <w:t xml:space="preserve">reg 6(2)</w:t>
            </w:r>
          </w:p>
        </w:tc>
      </w:tr>
      <w:tr>
        <w:trPr>
          <w:cantSplit/>
        </w:trPr>
        <w:tc>
          <w:tcPr>
            <w:tcW w:type="dxa" w:w="580"/>
            <w:tcMar>
              <w:top w:type="dxa" w:w="70"/>
              <w:left w:type="dxa" w:w="100"/>
              <w:bottom w:type="dxa" w:w="70"/>
              <w:right w:type="dxa" w:w="100"/>
            </w:tcMar>
            <w:vAlign w:val="top"/>
          </w:tcPr>
          <w:p>
            <w:pPr>
              <w:spacing w:after="0"/>
            </w:pPr>
            <w:r>
              <w:rPr>
                <w:rFonts w:ascii="Inter" w:cs="Inter" w:eastAsia="Inter" w:hAnsi="Inter"/>
                <w:color w:val="1F2937"/>
                <w:sz w:val="22"/>
                <w:szCs w:val="22"/>
              </w:rPr>
              <w:t xml:space="preserve">☐</w:t>
            </w:r>
          </w:p>
        </w:tc>
        <w:tc>
          <w:tcPr>
            <w:tcW w:type="dxa" w:w="9166"/>
            <w:tcMar>
              <w:top w:type="dxa" w:w="70"/>
              <w:left w:type="dxa" w:w="100"/>
              <w:bottom w:type="dxa" w:w="70"/>
              <w:right w:type="dxa" w:w="100"/>
            </w:tcMar>
            <w:vAlign w:val="top"/>
          </w:tcPr>
          <w:p>
            <w:pPr>
              <w:spacing w:after="30" w:line="250"/>
            </w:pPr>
            <w:r>
              <w:rPr>
                <w:rFonts w:ascii="Inter" w:cs="Inter" w:eastAsia="Inter" w:hAnsi="Inter"/>
                <w:color w:val="1F2937"/>
                <w:sz w:val="18"/>
                <w:szCs w:val="18"/>
              </w:rPr>
              <w:t xml:space="preserve">Record the appointment date (anchors reg 8 / reg 9):  ____________   Record the internalisation deadline (notice + 3 years):  ____________</w:t>
            </w:r>
          </w:p>
          <w:p>
            <w:pPr>
              <w:spacing w:after="0"/>
            </w:pPr>
            <w:r>
              <w:rPr>
                <w:rFonts w:ascii="Inter" w:cs="Inter" w:eastAsia="Inter" w:hAnsi="Inter"/>
                <w:i/>
                <w:iCs/>
                <w:color w:val="6B7280"/>
                <w:sz w:val="15"/>
                <w:szCs w:val="15"/>
              </w:rPr>
              <w:t xml:space="preserve">regs 8, 9, 6(4)</w:t>
            </w:r>
          </w:p>
        </w:tc>
      </w:tr>
      <w:tr>
        <w:trPr>
          <w:cantSplit/>
        </w:trPr>
        <w:tc>
          <w:tcPr>
            <w:tcW w:type="dxa" w:w="580"/>
            <w:tcMar>
              <w:top w:type="dxa" w:w="70"/>
              <w:left w:type="dxa" w:w="100"/>
              <w:bottom w:type="dxa" w:w="70"/>
              <w:right w:type="dxa" w:w="100"/>
            </w:tcMar>
            <w:vAlign w:val="top"/>
          </w:tcPr>
          <w:p>
            <w:pPr>
              <w:spacing w:after="0"/>
            </w:pPr>
            <w:r>
              <w:rPr>
                <w:rFonts w:ascii="Inter" w:cs="Inter" w:eastAsia="Inter" w:hAnsi="Inter"/>
                <w:color w:val="1F2937"/>
                <w:sz w:val="22"/>
                <w:szCs w:val="22"/>
              </w:rPr>
              <w:t xml:space="preserve">☐</w:t>
            </w:r>
          </w:p>
        </w:tc>
        <w:tc>
          <w:tcPr>
            <w:tcW w:type="dxa" w:w="9166"/>
            <w:tcMar>
              <w:top w:type="dxa" w:w="70"/>
              <w:left w:type="dxa" w:w="100"/>
              <w:bottom w:type="dxa" w:w="70"/>
              <w:right w:type="dxa" w:w="100"/>
            </w:tcMar>
            <w:vAlign w:val="top"/>
          </w:tcPr>
          <w:p>
            <w:pPr>
              <w:spacing w:after="30" w:line="250"/>
            </w:pPr>
            <w:r>
              <w:rPr>
                <w:rFonts w:ascii="Inter" w:cs="Inter" w:eastAsia="Inter" w:hAnsi="Inter"/>
                <w:color w:val="1F2937"/>
                <w:sz w:val="18"/>
                <w:szCs w:val="18"/>
              </w:rPr>
              <w:t xml:space="preserve">Open the internalisation plan: internal candidate named by ____________; registration achieved by ____________; shadowing through at least one EE&amp;C cycle.</w:t>
            </w:r>
          </w:p>
          <w:p>
            <w:pPr>
              <w:spacing w:after="0"/>
            </w:pPr>
            <w:r>
              <w:rPr>
                <w:rFonts w:ascii="Inter" w:cs="Inter" w:eastAsia="Inter" w:hAnsi="Inter"/>
                <w:i/>
                <w:iCs/>
                <w:color w:val="6B7280"/>
                <w:sz w:val="15"/>
                <w:szCs w:val="15"/>
              </w:rPr>
              <w:t xml:space="preserve">reg 6(4)</w:t>
            </w:r>
          </w:p>
        </w:tc>
      </w:tr>
    </w:tbl>
    <w:p>
      <w:pPr>
        <w:keepNext/>
        <w:keepLines/>
        <w:pBdr>
          <w:bottom w:val="single" w:color="38B0F8" w:sz="12" w:space="4"/>
        </w:pBdr>
        <w:tabs>
          <w:tab w:val="left" w:pos="460"/>
        </w:tabs>
        <w:spacing w:after="180" w:before="320"/>
        <w:ind w:left="460" w:hanging="460"/>
      </w:pPr>
      <w:r>
        <w:rPr>
          <w:rFonts w:ascii="Poppins" w:cs="Poppins" w:eastAsia="Poppins" w:hAnsi="Poppins"/>
          <w:b/>
          <w:bCs/>
          <w:color w:val="38B0F8"/>
          <w:sz w:val="30"/>
          <w:szCs w:val="30"/>
        </w:rPr>
        <w:t xml:space="preserve">5</w:t>
      </w:r>
      <w:r>
        <w:rPr>
          <w:rFonts w:ascii="Poppins" w:cs="Poppins" w:eastAsia="Poppins" w:hAnsi="Poppins"/>
          <w:sz w:val="30"/>
          <w:szCs w:val="30"/>
        </w:rPr>
        <w:tab/>
      </w:r>
      <w:r>
        <w:rPr>
          <w:rFonts w:ascii="Poppins" w:cs="Poppins" w:eastAsia="Poppins" w:hAnsi="Poppins"/>
          <w:b/>
          <w:bCs/>
          <w:color w:val="111827"/>
          <w:sz w:val="30"/>
          <w:szCs w:val="30"/>
        </w:rPr>
        <w:t xml:space="preserve">Vacancy protocol (reg 7)</w:t>
      </w:r>
    </w:p>
    <w:p>
      <w:pPr>
        <w:keepNext/>
        <w:spacing w:after="140" w:line="300"/>
        <w:jc w:val="both"/>
      </w:pPr>
      <w:r>
        <w:rPr>
          <w:rFonts w:ascii="Inter" w:cs="Inter" w:eastAsia="Inter" w:hAnsi="Inter"/>
          <w:color w:val="1F2937"/>
          <w:sz w:val="20"/>
          <w:szCs w:val="20"/>
        </w:rPr>
        <w:t xml:space="preserve">If the appointed REM vacates office for any reason:</w:t>
      </w:r>
    </w:p>
    <w:tbl>
      <w:tblPr>
        <w:tblW w:type="dxa" w:w="9746"/>
        <w:tblBorders>
          <w:top w:val="single" w:color="E5E7EB" w:sz="4"/>
          <w:left w:val="single" w:color="E5E7EB" w:sz="4"/>
          <w:bottom w:val="single" w:color="E5E7EB" w:sz="4"/>
          <w:right w:val="single" w:color="E5E7EB" w:sz="4"/>
          <w:insideH w:val="single" w:color="E5E7EB" w:sz="4"/>
          <w:insideV w:val="single" w:color="E5E7EB" w:sz="4"/>
        </w:tblBorders>
      </w:tblPr>
      <w:tblGrid>
        <w:gridCol w:w="676"/>
        <w:gridCol w:w="5491"/>
        <w:gridCol w:w="3579"/>
      </w:tblGrid>
      <w:tr>
        <w:trPr>
          <w:cantSplit/>
          <w:tblHeader/>
        </w:trPr>
        <w:tc>
          <w:tcPr>
            <w:tcW w:type="dxa" w:w="676"/>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Step</w:t>
            </w:r>
          </w:p>
        </w:tc>
        <w:tc>
          <w:tcPr>
            <w:tcW w:type="dxa" w:w="5491"/>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Duty</w:t>
            </w:r>
          </w:p>
        </w:tc>
        <w:tc>
          <w:tcPr>
            <w:tcW w:type="dxa" w:w="3579"/>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Clock</w:t>
            </w:r>
          </w:p>
        </w:tc>
      </w:tr>
      <w:tr>
        <w:trPr>
          <w:cantSplit/>
        </w:trPr>
        <w:tc>
          <w:tcPr>
            <w:tcW w:type="dxa" w:w="67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1</w:t>
            </w:r>
          </w:p>
        </w:tc>
        <w:tc>
          <w:tcPr>
            <w:tcW w:type="dxa" w:w="5491"/>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Serve notice to the Commission, in the form the Commission determines</w:t>
            </w:r>
          </w:p>
        </w:tc>
        <w:tc>
          <w:tcPr>
            <w:tcW w:type="dxa" w:w="3579"/>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Within 14 days of the office falling vacant — penalty reg 7(4): fine up to RM10,000</w:t>
            </w:r>
          </w:p>
        </w:tc>
      </w:tr>
      <w:tr>
        <w:trPr>
          <w:cantSplit/>
        </w:trPr>
        <w:tc>
          <w:tcPr>
            <w:tcW w:type="dxa" w:w="67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2</w:t>
            </w:r>
          </w:p>
        </w:tc>
        <w:tc>
          <w:tcPr>
            <w:tcW w:type="dxa" w:w="5491"/>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Appoint a replacement REM from among employees in accordance with reg 4</w:t>
            </w:r>
          </w:p>
        </w:tc>
        <w:tc>
          <w:tcPr>
            <w:tcW w:type="dxa" w:w="3579"/>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Within 3 months of the vacancy</w:t>
            </w:r>
          </w:p>
        </w:tc>
      </w:tr>
      <w:tr>
        <w:trPr>
          <w:cantSplit/>
        </w:trPr>
        <w:tc>
          <w:tcPr>
            <w:tcW w:type="dxa" w:w="67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3</w:t>
            </w:r>
          </w:p>
        </w:tc>
        <w:tc>
          <w:tcPr>
            <w:tcW w:type="dxa" w:w="5491"/>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If no internal appointment is possible: apply for the Commission’s written approval to appoint an external REM (subreg 14(2)/(3)), on the Commission’s conditions</w:t>
            </w:r>
          </w:p>
        </w:tc>
        <w:tc>
          <w:tcPr>
            <w:tcW w:type="dxa" w:w="3579"/>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Before the 3-month deadline expires</w:t>
            </w:r>
          </w:p>
        </w:tc>
      </w:tr>
    </w:tbl>
    <w:p>
      <w:pPr>
        <w:spacing w:after="140" w:line="300"/>
        <w:jc w:val="both"/>
      </w:pPr>
      <w:r>
        <w:rPr>
          <w:rFonts w:ascii="Inter" w:cs="Inter" w:eastAsia="Inter" w:hAnsi="Inter"/>
          <w:b/>
          <w:bCs/>
          <w:color w:val="111827"/>
          <w:sz w:val="20"/>
          <w:szCs w:val="20"/>
        </w:rPr>
        <w:t xml:space="preserve">Note the asymmetry: </w:t>
      </w:r>
      <w:r>
        <w:rPr>
          <w:rFonts w:ascii="Inter" w:cs="Inter" w:eastAsia="Inter" w:hAnsi="Inter"/>
          <w:color w:val="1F2937"/>
          <w:sz w:val="20"/>
          <w:szCs w:val="20"/>
        </w:rPr>
        <w:t xml:space="preserve">the routine external route (reg 6) is only available against the three-year window from the notice; a mid-life vacancy replacement outside your workforce requires the Commission’s prior written approval (reg 7(3)). Do not assume an external stopgap is automatic.</w:t>
      </w:r>
    </w:p>
    <w:p>
      <w:pPr>
        <w:keepNext/>
        <w:keepLines/>
        <w:pBdr>
          <w:bottom w:val="single" w:color="38B0F8" w:sz="12" w:space="4"/>
        </w:pBdr>
        <w:tabs>
          <w:tab w:val="left" w:pos="460"/>
        </w:tabs>
        <w:spacing w:after="180" w:before="320"/>
        <w:ind w:left="460" w:hanging="460"/>
      </w:pPr>
      <w:r>
        <w:rPr>
          <w:rFonts w:ascii="Poppins" w:cs="Poppins" w:eastAsia="Poppins" w:hAnsi="Poppins"/>
          <w:b/>
          <w:bCs/>
          <w:color w:val="38B0F8"/>
          <w:sz w:val="30"/>
          <w:szCs w:val="30"/>
        </w:rPr>
        <w:t xml:space="preserve">6</w:t>
      </w:r>
      <w:r>
        <w:rPr>
          <w:rFonts w:ascii="Poppins" w:cs="Poppins" w:eastAsia="Poppins" w:hAnsi="Poppins"/>
          <w:sz w:val="30"/>
          <w:szCs w:val="30"/>
        </w:rPr>
        <w:tab/>
      </w:r>
      <w:r>
        <w:rPr>
          <w:rFonts w:ascii="Poppins" w:cs="Poppins" w:eastAsia="Poppins" w:hAnsi="Poppins"/>
          <w:b/>
          <w:bCs/>
          <w:color w:val="111827"/>
          <w:sz w:val="30"/>
          <w:szCs w:val="30"/>
        </w:rPr>
        <w:t xml:space="preserve">Where Innovast fits</w:t>
      </w:r>
    </w:p>
    <w:p>
      <w:pPr>
        <w:spacing w:after="140" w:line="300"/>
        <w:jc w:val="both"/>
      </w:pPr>
      <w:r>
        <w:rPr>
          <w:rFonts w:ascii="Inter" w:cs="Inter" w:eastAsia="Inter" w:hAnsi="Inter"/>
          <w:color w:val="1F2937"/>
          <w:sz w:val="20"/>
          <w:szCs w:val="20"/>
        </w:rPr>
        <w:t xml:space="preserve">Innovast provides REM services within the regulation 6 framework — properly tiered REMs, capped workloads, contracted to the statutory duties, with the internalisation handover built into the engagement plan. We currently reserve external REM capacity for a limited number of consumers (the regulation caps bind us too — that is the point of them). </w:t>
      </w:r>
      <w:r>
        <w:rPr>
          <w:rFonts w:ascii="Inter" w:cs="Inter" w:eastAsia="Inter" w:hAnsi="Inter"/>
          <w:b/>
          <w:bCs/>
          <w:color w:val="1273AD"/>
          <w:sz w:val="20"/>
          <w:szCs w:val="20"/>
        </w:rPr>
        <w:t xml:space="preserve">anslem@innovast.asia · +60 12 355 6214</w:t>
      </w:r>
    </w:p>
    <w:tbl>
      <w:tblPr>
        <w:tblW w:type="dxa" w:w="9746"/>
        <w:tblBorders>
          <w:top w:val="single" w:color="E5E7EB" w:sz="4"/>
          <w:left w:val="single" w:color="00BF63" w:sz="24"/>
          <w:bottom w:val="single" w:color="E5E7EB" w:sz="4"/>
          <w:right w:val="single" w:color="E5E7EB" w:sz="4"/>
          <w:insideH w:val="none"/>
          <w:insideV w:val="none"/>
        </w:tblBorders>
      </w:tblPr>
      <w:tblGrid>
        <w:gridCol w:w="9746"/>
      </w:tblGrid>
      <w:tr>
        <w:trPr>
          <w:cantSplit/>
        </w:trPr>
        <w:tc>
          <w:tcPr>
            <w:tcW w:type="dxa" w:w="9746"/>
            <w:shd w:fill="F9FAFB" w:val="clear"/>
            <w:tcMar>
              <w:top w:type="dxa" w:w="140"/>
              <w:left w:type="dxa" w:w="200"/>
              <w:bottom w:type="dxa" w:w="140"/>
              <w:right w:type="dxa" w:w="200"/>
            </w:tcMar>
          </w:tcPr>
          <w:p>
            <w:pPr>
              <w:spacing w:after="0" w:line="280"/>
              <w:jc w:val="both"/>
            </w:pPr>
            <w:r>
              <w:rPr>
                <w:rFonts w:ascii="Inter" w:cs="Inter" w:eastAsia="Inter" w:hAnsi="Inter"/>
                <w:b/>
                <w:bCs/>
                <w:color w:val="111827"/>
                <w:sz w:val="20"/>
                <w:szCs w:val="20"/>
              </w:rPr>
              <w:t xml:space="preserve">The REM’s reporting burden is a data problem. </w:t>
            </w:r>
            <w:r>
              <w:rPr>
                <w:rFonts w:ascii="Inter" w:cs="Inter" w:eastAsia="Inter" w:hAnsi="Inter"/>
                <w:color w:val="1F2937"/>
                <w:sz w:val="20"/>
                <w:szCs w:val="20"/>
              </w:rPr>
              <w:t xml:space="preserve">InnoSense gives your REM the twelve-month consumption record, EnPI tracking and EnMS evidence trail the EE&amp;C report needs — maintained continuously. Register interest at </w:t>
            </w:r>
            <w:r>
              <w:rPr>
                <w:rFonts w:ascii="Inter" w:cs="Inter" w:eastAsia="Inter" w:hAnsi="Inter"/>
                <w:b/>
                <w:bCs/>
                <w:color w:val="1273AD"/>
                <w:sz w:val="20"/>
                <w:szCs w:val="20"/>
              </w:rPr>
              <w:t xml:space="preserve">eeca2024.my</w:t>
            </w:r>
          </w:p>
        </w:tc>
      </w:tr>
    </w:tbl>
    <w:p>
      <w:r>
        <w:br w:type="page"/>
      </w:r>
    </w:p>
    <w:p>
      <w:pPr>
        <w:keepNext/>
        <w:keepLines/>
        <w:pBdr>
          <w:bottom w:val="single" w:color="38B0F8" w:sz="12" w:space="4"/>
        </w:pBdr>
        <w:tabs>
          <w:tab w:val="left" w:pos="460"/>
        </w:tabs>
        <w:spacing w:after="180" w:before="320"/>
      </w:pPr>
      <w:r>
        <w:rPr>
          <w:rFonts w:ascii="Poppins" w:cs="Poppins" w:eastAsia="Poppins" w:hAnsi="Poppins"/>
          <w:b/>
          <w:bCs/>
          <w:color w:val="111827"/>
          <w:sz w:val="30"/>
          <w:szCs w:val="30"/>
        </w:rPr>
        <w:t xml:space="preserve">The complete Starter Pack</w:t>
      </w:r>
    </w:p>
    <w:p>
      <w:pPr>
        <w:spacing w:after="140" w:line="300"/>
        <w:jc w:val="both"/>
      </w:pPr>
      <w:r>
        <w:rPr>
          <w:rFonts w:ascii="Inter" w:cs="Inter" w:eastAsia="Inter" w:hAnsi="Inter"/>
          <w:color w:val="1F2937"/>
          <w:sz w:val="20"/>
          <w:szCs w:val="20"/>
        </w:rPr>
        <w:t xml:space="preserve">This document is one of thirteen working documents in the EECA 2024 EnMS Starter Pack — together they stand up an energy management system that follows GP/ST/No.46/2024 and the statutory duties of Act 861.</w:t>
      </w:r>
    </w:p>
    <w:tbl>
      <w:tblPr>
        <w:tblW w:type="dxa" w:w="9746"/>
        <w:tblBorders>
          <w:top w:val="single" w:color="E5E7EB" w:sz="4"/>
          <w:left w:val="single" w:color="E5E7EB" w:sz="4"/>
          <w:bottom w:val="single" w:color="E5E7EB" w:sz="4"/>
          <w:right w:val="single" w:color="E5E7EB" w:sz="4"/>
          <w:insideH w:val="single" w:color="E5E7EB" w:sz="4"/>
          <w:insideV w:val="single" w:color="E5E7EB" w:sz="4"/>
        </w:tblBorders>
      </w:tblPr>
      <w:tblGrid>
        <w:gridCol w:w="700"/>
        <w:gridCol w:w="3300"/>
        <w:gridCol w:w="5746"/>
      </w:tblGrid>
      <w:tr>
        <w:trPr>
          <w:cantSplit/>
          <w:tblHeader/>
        </w:trPr>
        <w:tc>
          <w:tcPr>
            <w:tcW w:type="dxa" w:w="70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Code</w:t>
            </w:r>
          </w:p>
        </w:tc>
        <w:tc>
          <w:tcPr>
            <w:tcW w:type="dxa" w:w="330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Document</w:t>
            </w:r>
          </w:p>
        </w:tc>
        <w:tc>
          <w:tcPr>
            <w:tcW w:type="dxa" w:w="5746"/>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Use it to</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C0</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Pack Guide &amp; Compliance Clock</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Orient the team; diarise the statutory deadlines</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C1</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EECA EnMS Gap Assessment Checklist</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Score your current position (Yes / Partial / No) against every GP46 element and statutory duty; get a readiness band</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C2</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Energy Management Policy Template</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Draft the policy with the four GP46-mandatory commitments built in</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C3</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Committee &amp; Governance Kit</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Appoint the management representative; constitute the Committee; run and minute the meetings and the annual management review</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C4</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Legal &amp; Obligations Register</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Hold every Act 861 / EECR duty with citation, deadline, penalty, owner and status — the legal-compliance evaluation GP46 para. 8.2(g) expects</w:t>
            </w:r>
          </w:p>
        </w:tc>
      </w:tr>
      <w:tr>
        <w:trPr>
          <w:cantSplit/>
        </w:trPr>
        <w:tc>
          <w:tcPr>
            <w:tcW w:type="dxa" w:w="700"/>
            <w:shd w:fill="EAF6FE" w:val="clear"/>
            <w:tcMar>
              <w:top w:type="dxa" w:w="70"/>
              <w:left w:type="dxa" w:w="100"/>
              <w:bottom w:type="dxa" w:w="70"/>
              <w:right w:type="dxa" w:w="100"/>
            </w:tcMar>
            <w:vAlign w:val="top"/>
          </w:tcPr>
          <w:p>
            <w:pPr>
              <w:spacing w:after="0" w:line="260"/>
            </w:pPr>
            <w:r>
              <w:rPr>
                <w:rFonts w:ascii="Inter" w:cs="Inter" w:eastAsia="Inter" w:hAnsi="Inter"/>
                <w:b/>
                <w:bCs/>
                <w:color w:val="1273AD"/>
                <w:sz w:val="18"/>
                <w:szCs w:val="18"/>
              </w:rPr>
              <w:t xml:space="preserve">C5</w:t>
            </w:r>
          </w:p>
        </w:tc>
        <w:tc>
          <w:tcPr>
            <w:tcW w:type="dxa" w:w="3300"/>
            <w:shd w:fill="EAF6FE" w:val="clear"/>
            <w:tcMar>
              <w:top w:type="dxa" w:w="70"/>
              <w:left w:type="dxa" w:w="100"/>
              <w:bottom w:type="dxa" w:w="70"/>
              <w:right w:type="dxa" w:w="100"/>
            </w:tcMar>
            <w:vAlign w:val="top"/>
          </w:tcPr>
          <w:p>
            <w:pPr>
              <w:spacing w:after="0" w:line="260"/>
            </w:pPr>
            <w:r>
              <w:rPr>
                <w:rFonts w:ascii="Inter" w:cs="Inter" w:eastAsia="Inter" w:hAnsi="Inter"/>
                <w:b/>
                <w:bCs/>
                <w:color w:val="1F2937"/>
                <w:sz w:val="18"/>
                <w:szCs w:val="18"/>
              </w:rPr>
              <w:t xml:space="preserve">REM Appointment Checklist</w:t>
            </w:r>
          </w:p>
        </w:tc>
        <w:tc>
          <w:tcPr>
            <w:tcW w:type="dxa" w:w="5746"/>
            <w:shd w:fill="EAF6FE" w:val="clear"/>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Choose internal vs external appointment; respect the tiering and the caps; manage the three-year window  </w:t>
            </w:r>
            <w:r>
              <w:rPr>
                <w:rFonts w:ascii="Inter" w:cs="Inter" w:eastAsia="Inter" w:hAnsi="Inter"/>
                <w:b/>
                <w:bCs/>
                <w:color w:val="1273AD"/>
                <w:sz w:val="16"/>
                <w:szCs w:val="16"/>
              </w:rPr>
              <w:t xml:space="preserve">(this document)</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C6</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EnPI / EEI Worksheet (sector-selectable)</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Establish the baseline and indicator — SEC path for industry, BEI path for buildings</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C7</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Energy Data Collection Plan + 12-Month Consumption Tracker (xlsx)</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Plan and record the twelve months of consumption, generation and variable data GP46 requires</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C8</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Action Plan &amp; ESM Register (docx + xlsx)</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Turn audit findings into a prioritised, costed, owned action plan with M&amp;V per ESM</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C9</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Communication, Awareness &amp; Training Plan</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Discharge GP46 para. 7.7–7.9 — communication matrix, motivation strategy, training programme</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C10</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EnMS Self-Evaluation Matrix (xlsx)</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Run the GP46 para. 5.2.3(a) maturity self-evaluation at Committee formation and periodically after</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C11</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Work Procedure &amp; Log Sheet Starters</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Seed the operational controls — chiller plant and lighting examples to adapt</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C12</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EE&amp;C Report Skeleton</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Assemble the annual report content in the GP45 structure before entering it in the Commission’s online system</w:t>
            </w:r>
          </w:p>
        </w:tc>
      </w:tr>
    </w:tbl>
    <w:p>
      <w:pPr>
        <w:spacing w:after="0" w:before="160"/>
        <w:jc w:val="left"/>
      </w:pPr>
      <w:r>
        <w:rPr>
          <w:rFonts w:ascii="Inter" w:cs="Inter" w:eastAsia="Inter" w:hAnsi="Inter"/>
          <w:b/>
          <w:bCs/>
          <w:color w:val="1F2937"/>
          <w:sz w:val="20"/>
          <w:szCs w:val="20"/>
        </w:rPr>
        <w:t xml:space="preserve">Get the complete pack, free:  </w:t>
      </w:r>
      <w:r>
        <w:rPr>
          <w:rFonts w:ascii="Inter" w:cs="Inter" w:eastAsia="Inter" w:hAnsi="Inter"/>
          <w:b/>
          <w:bCs/>
          <w:color w:val="1273AD"/>
          <w:sz w:val="20"/>
          <w:szCs w:val="20"/>
        </w:rPr>
        <w:t xml:space="preserve">eeca2024.my/enms-pack</w:t>
      </w:r>
      <w:r>
        <w:rPr>
          <w:rFonts w:ascii="Inter" w:cs="Inter" w:eastAsia="Inter" w:hAnsi="Inter"/>
          <w:color w:val="4B5563"/>
          <w:sz w:val="19"/>
          <w:szCs w:val="19"/>
        </w:rPr>
        <w:t xml:space="preserve">   ·   anslem@innovast.asia   ·   +60 12 355 6214</w:t>
      </w:r>
    </w:p>
    <w:sectPr>
      <w:headerReference w:type="default" r:id="rId7"/>
      <w:headerReference w:type="first" r:id="rId8"/>
      <w:footerReference w:type="default" r:id="rId9"/>
      <w:footerReference w:type="first" r:id="rId10"/>
      <w:pgSz w:w="11906" w:h="16838" w:orient="portrait"/>
      <w:pgMar w:top="1080" w:right="1080" w:bottom="1080" w:left="108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oppins">
    <w:charset w:val="00"/>
    <w:family w:val="swiss"/>
    <w:pitch w:val="variable"/>
    <w:embedRegular r:id="rIdFont1" w:fontKey="{DEC9A0A9-4FE0-44E7-BFBF-BD97DF8FBD66}"/>
    <w:embedBold r:id="rIdFont2" w:fontKey="{9CCD3FB6-7A5E-4762-BD8F-AD2EE2EAF8CF}"/>
  </w:font>
  <w:font w:name="Inter">
    <w:charset w:val="00"/>
    <w:family w:val="swiss"/>
    <w:pitch w:val="variable"/>
    <w:embedRegular r:id="rIdFont3" w:fontKey="{3BD76B5A-24E4-4B4B-8226-279DB52CC99A}"/>
    <w:embedBold r:id="rIdFont4" w:fontKey="{30025C97-49F2-4326-978B-15068C114153}"/>
    <w:embedItalic r:id="rIdFont5" w:fontKey="{20AE4E0E-B39E-4EA3-B3BD-2F98BD4110A1}"/>
    <w:embedBoldItalic r:id="rIdFont6" w:fontKey="{A76732EF-8A5D-4481-9D87-592E5190ADA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4" w:space="3"/>
      </w:pBdr>
      <w:tabs>
        <w:tab w:val="right" w:pos="9746"/>
      </w:tabs>
      <w:spacing w:after="20"/>
    </w:pPr>
    <w:r>
      <w:rPr>
        <w:rFonts w:ascii="Inter" w:cs="Inter" w:eastAsia="Inter" w:hAnsi="Inter"/>
        <w:color w:val="6B7280"/>
        <w:sz w:val="15"/>
        <w:szCs w:val="15"/>
      </w:rPr>
      <w:t xml:space="preserve">INV-ENMS-C5 · Rev 1.0 · Draft for adaptation</w:t>
    </w:r>
    <w:r>
      <w:rPr>
        <w:rFonts w:ascii="Inter" w:cs="Inter" w:eastAsia="Inter" w:hAnsi="Inter"/>
        <w:sz w:val="15"/>
        <w:szCs w:val="15"/>
      </w:rPr>
      <w:t xml:space="preserve">	</w:t>
    </w:r>
    <w:r>
      <w:rPr>
        <w:rFonts w:ascii="Inter" w:cs="Inter" w:eastAsia="Inter" w:hAnsi="Inter"/>
        <w:color w:val="6B7280"/>
        <w:sz w:val="15"/>
        <w:szCs w:val="15"/>
      </w:rPr>
      <w:t xml:space="preserve">Page </w:t>
    </w:r>
    <w:r>
      <w:rPr>
        <w:rFonts w:ascii="Inter" w:cs="Inter" w:eastAsia="Inter" w:hAnsi="Inter"/>
        <w:color w:val="6B7280"/>
        <w:sz w:val="15"/>
        <w:szCs w:val="15"/>
      </w:rPr>
      <w:fldChar w:fldCharType="begin"/>
      <w:instrText xml:space="preserve">PAGE</w:instrText>
      <w:fldChar w:fldCharType="separate"/>
      <w:fldChar w:fldCharType="end"/>
    </w:r>
    <w:r>
      <w:rPr>
        <w:rFonts w:ascii="Inter" w:cs="Inter" w:eastAsia="Inter" w:hAnsi="Inter"/>
        <w:color w:val="6B7280"/>
        <w:sz w:val="15"/>
        <w:szCs w:val="15"/>
      </w:rPr>
      <w:t xml:space="preserve"> of </w:t>
    </w:r>
    <w:r>
      <w:rPr>
        <w:rFonts w:ascii="Inter" w:cs="Inter" w:eastAsia="Inter" w:hAnsi="Inter"/>
        <w:color w:val="6B7280"/>
        <w:sz w:val="15"/>
        <w:szCs w:val="15"/>
      </w:rPr>
      <w:fldChar w:fldCharType="begin"/>
      <w:instrText xml:space="preserve">NUMPAGES</w:instrText>
      <w:fldChar w:fldCharType="separate"/>
      <w:fldChar w:fldCharType="end"/>
    </w:r>
  </w:p>
  <w:p>
    <w:pPr>
      <w:jc w:val="center"/>
    </w:pPr>
    <w:r>
      <w:rPr>
        <w:rFonts w:ascii="Inter" w:cs="Inter" w:eastAsia="Inter" w:hAnsi="Inter"/>
        <w:color w:val="6B7280"/>
        <w:sz w:val="15"/>
        <w:szCs w:val="15"/>
      </w:rPr>
      <w:t xml:space="preserve">Innovast Sdn Bhd · Licensed ESCO · Registered with Suruhanjaya Tenaga (Energy Commission Malaysia)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4" w:space="6"/>
      </w:pBdr>
      <w:spacing w:after="40"/>
    </w:pPr>
    <w:r>
      <w:rPr>
        <w:rFonts w:ascii="Poppins" w:cs="Poppins" w:eastAsia="Poppins" w:hAnsi="Poppins"/>
        <w:b/>
        <w:bCs/>
        <w:color w:val="111827"/>
        <w:sz w:val="21"/>
        <w:szCs w:val="21"/>
      </w:rPr>
      <w:t xml:space="preserve">Innovast Sdn Bhd</w:t>
    </w:r>
  </w:p>
  <w:p>
    <w:pPr>
      <w:spacing w:after="20"/>
    </w:pPr>
    <w:r>
      <w:rPr>
        <w:rFonts w:ascii="Inter" w:cs="Inter" w:eastAsia="Inter" w:hAnsi="Inter"/>
        <w:color w:val="4B5563"/>
        <w:sz w:val="18"/>
        <w:szCs w:val="18"/>
      </w:rPr>
      <w:t xml:space="preserve">Licensed Energy Service Company (ESCO) · ESCO Reg. No. ESCO 327(2023)/76/2024</w:t>
    </w:r>
  </w:p>
  <w:p>
    <w:pPr>
      <w:spacing w:after="20"/>
    </w:pPr>
    <w:r>
      <w:rPr>
        <w:rFonts w:ascii="Inter" w:cs="Inter" w:eastAsia="Inter" w:hAnsi="Inter"/>
        <w:color w:val="4B5563"/>
        <w:sz w:val="18"/>
        <w:szCs w:val="18"/>
      </w:rPr>
      <w:t xml:space="preserve">Company Reg. No. 202201012221 (1457918-M) · Registered with Suruhanjaya Tenaga · SEDA Recognised</w:t>
    </w:r>
  </w:p>
  <w:p>
    <w:pPr>
      <w:spacing w:after="0"/>
    </w:pPr>
    <w:r>
      <w:rPr>
        <w:rFonts w:ascii="Inter" w:cs="Inter" w:eastAsia="Inter" w:hAnsi="Inter"/>
        <w:color w:val="1273AD"/>
        <w:sz w:val="18"/>
        <w:szCs w:val="18"/>
      </w:rPr>
      <w:t xml:space="preserve">www.innovast.asia · anslem@innovast.asia · +60 12 355 6214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4" w:space="3"/>
      </w:pBdr>
      <w:tabs>
        <w:tab w:val="right" w:pos="9746"/>
      </w:tabs>
    </w:pPr>
    <w:r>
      <w:drawing>
        <wp:inline distT="0" distB="0" distL="0" distR="0">
          <wp:extent cx="85725" cy="152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85725" cy="152400"/>
                  </a:xfrm>
                  <a:prstGeom prst="rect">
                    <a:avLst/>
                  </a:prstGeom>
                </pic:spPr>
              </pic:pic>
            </a:graphicData>
          </a:graphic>
        </wp:inline>
      </w:drawing>
    </w:r>
    <w:r>
      <w:rPr>
        <w:rFonts w:ascii="Poppins" w:cs="Poppins" w:eastAsia="Poppins" w:hAnsi="Poppins"/>
        <w:b/>
        <w:bCs/>
        <w:color w:val="6B7280"/>
        <w:sz w:val="16"/>
        <w:szCs w:val="16"/>
      </w:rPr>
      <w:t xml:space="preserve">  EECA 2024 EnMS Starter Pack</w:t>
    </w:r>
    <w:r>
      <w:rPr>
        <w:rFonts w:ascii="Inter" w:cs="Inter" w:eastAsia="Inter" w:hAnsi="Inter"/>
        <w:color w:val="6B7280"/>
        <w:sz w:val="16"/>
        <w:szCs w:val="16"/>
      </w:rPr>
      <w:t xml:space="preserve">	C5 · REM Appointment Checklist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lvl w:ilvl="1" w15:tentative="1">
      <w:start w:val="1"/>
      <w:numFmt w:val="bullet"/>
      <w:lvlText w:val="·"/>
      <w:lvlJc w:val="left"/>
      <w:pPr>
        <w:ind w:left="700" w:hanging="200"/>
      </w:pPr>
    </w:lvl>
  </w:abstractNum>
  <w:abstractNum w:abstractNumId="3" w15:restartNumberingAfterBreak="0">
    <w:multiLevelType w:val="hybridMultilevel"/>
    <w:lvl w:ilvl="0" w15:tentative="1">
      <w:start w:val="1"/>
      <w:numFmt w:val="decimal"/>
      <w:lvlText w:val="%1."/>
      <w:lvlJc w:val="left"/>
      <w:pPr>
        <w:ind w:left="400" w:hanging="2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mbedTrueTypeFonts/>
  <w:saveSubsetFont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nter" w:cs="Inter" w:eastAsia="Inter" w:hAnsi="Inter"/>
        <w:color w:val="1F2937"/>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6a3225be243d0684e64ffa8d8cda75a3f659697e.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 standalone="yes"?><Relationships xmlns="http://schemas.openxmlformats.org/package/2006/relationships"><Relationship Id="rIdFont1" Type="http://schemas.openxmlformats.org/officeDocument/2006/relationships/font" Target="fonts/font1.odttf"/><Relationship Id="rIdFont2" Type="http://schemas.openxmlformats.org/officeDocument/2006/relationships/font" Target="fonts/font2.odttf"/><Relationship Id="rIdFont3" Type="http://schemas.openxmlformats.org/officeDocument/2006/relationships/font" Target="fonts/font3.odttf"/><Relationship Id="rIdFont4" Type="http://schemas.openxmlformats.org/officeDocument/2006/relationships/font" Target="fonts/font4.odttf"/><Relationship Id="rIdFont5" Type="http://schemas.openxmlformats.org/officeDocument/2006/relationships/font" Target="fonts/font5.odttf"/><Relationship Id="rIdFont6" Type="http://schemas.openxmlformats.org/officeDocument/2006/relationships/font" Target="fonts/font6.odttf"/></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bf7d3d510dd56c0f342def237bd02c91681dac2a.png"/></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 · REM Appointment Checklist — EECA 2024 EnMS Starter Pack</dc:title>
  <dc:subject>EECA 2024 EnMS Starter Pack — draft EnMS documentation for Malaysian designated energy consumers (GP/ST/No.46/2024; Act 861; P.U.(A) 466/2024)</dc:subject>
  <dc:creator>Anslem Lim</dc:creator>
  <cp:keywords>EECA 2024, Act 861, EnMS, GP/ST/No.46/2024, energy management, Innovast, Suruhanjaya Tenaga</cp:keywords>
  <dc:description>Prepared by Innovast Sdn Bhd, Licensed ESCO (ESCO 327(2023)/76/2024). Draft for adaptation — adapt to your organisation before use; not regulatory advice.</dc:description>
  <cp:lastModifiedBy>Innovast Sdn Bhd</cp:lastModifiedBy>
  <cp:revision>1</cp:revision>
  <dcterms:created xsi:type="dcterms:W3CDTF">2026-07-29T04:16:48.931Z</dcterms:created>
  <dcterms:modified xsi:type="dcterms:W3CDTF">2026-07-29T04:16:48.932Z</dcterms:modified>
</cp:coreProperties>
</file>

<file path=docProps/custom.xml><?xml version="1.0" encoding="utf-8"?>
<Properties xmlns="http://schemas.openxmlformats.org/officeDocument/2006/custom-properties" xmlns:vt="http://schemas.openxmlformats.org/officeDocument/2006/docPropsVTypes"/>
</file>