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C4 · OBLIGATIONS REGISTER</w:t>
      </w:r>
    </w:p>
    <w:p>
      <w:pPr>
        <w:spacing w:after="160"/>
      </w:pPr>
      <w:r>
        <w:rPr>
          <w:rFonts w:ascii="Poppins" w:cs="Poppins" w:eastAsia="Poppins" w:hAnsi="Poppins"/>
          <w:b/>
          <w:bCs/>
          <w:color w:val="111827"/>
          <w:sz w:val="52"/>
          <w:szCs w:val="52"/>
        </w:rPr>
        <w:t xml:space="preserve">Legal &amp; Obligations Register</w:t>
      </w:r>
    </w:p>
    <w:p>
      <w:pPr>
        <w:pBdr>
          <w:top w:val="single" w:color="38B0F8" w:sz="18" w:space="8"/>
        </w:pBdr>
        <w:spacing w:after="200"/>
      </w:pPr>
      <w:r>
        <w:rPr>
          <w:rFonts w:ascii="Inter" w:cs="Inter" w:eastAsia="Inter" w:hAnsi="Inter"/>
          <w:color w:val="4B5563"/>
          <w:sz w:val="24"/>
          <w:szCs w:val="24"/>
        </w:rPr>
        <w:t xml:space="preserve">Every duty of a designated energy consumer under Act 861 and the EEC Regulations 2024 — citation, deadline, penalty, owner, status</w:t>
      </w:r>
    </w:p>
    <w:p>
      <w:pPr>
        <w:spacing w:after="360" w:line="320"/>
        <w:jc w:val="both"/>
      </w:pPr>
      <w:r>
        <w:rPr>
          <w:rFonts w:ascii="Inter" w:cs="Inter" w:eastAsia="Inter" w:hAnsi="Inter"/>
          <w:color w:val="1F2937"/>
          <w:sz w:val="20"/>
          <w:szCs w:val="20"/>
        </w:rPr>
        <w:t xml:space="preserve">GP46 requires the energy policy to commit to compliance with written law (para. 4.4.1(c)) and requires the annual results evaluation to evaluate compliance with legal requirements (para. 8.2(g)). This register is the instrument that does both: one controlled table of every statutory duty, its deadline anchor, its penalty exposure, a named owner, and a live status.</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INV-ENMS-C4</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spacing w:after="120" w:before="60"/>
      </w:pPr>
      <w:r>
        <w:rPr>
          <w:rFonts w:ascii="Poppins" w:cs="Poppins" w:eastAsia="Poppins" w:hAnsi="Poppins"/>
          <w:b/>
          <w:bCs/>
          <w:color w:val="6B7280"/>
          <w:spacing w:val="20"/>
          <w:sz w:val="17"/>
          <w:szCs w:val="17"/>
        </w:rPr>
        <w:t xml:space="preserve">CONTENTS</w:t>
      </w:r>
    </w:p>
    <w:p>
      <w:pPr>
        <w:tabs>
          <w:tab w:val="left" w:pos="460"/>
        </w:tabs>
        <w:spacing w:after="60"/>
        <w:ind w:left="460" w:hanging="460"/>
      </w:pPr>
      <w:r>
        <w:rPr>
          <w:rFonts w:ascii="Poppins" w:cs="Poppins" w:eastAsia="Poppins" w:hAnsi="Poppins"/>
          <w:b/>
          <w:bCs/>
          <w:color w:val="1273AD"/>
          <w:sz w:val="18"/>
          <w:szCs w:val="18"/>
        </w:rPr>
        <w:t xml:space="preserve">1</w:t>
      </w:r>
      <w:r>
        <w:rPr>
          <w:sz w:val="18"/>
          <w:szCs w:val="18"/>
        </w:rPr>
        <w:tab/>
      </w:r>
      <w:r>
        <w:rPr>
          <w:rFonts w:ascii="Inter" w:cs="Inter" w:eastAsia="Inter" w:hAnsi="Inter"/>
          <w:color w:val="1F2937"/>
          <w:sz w:val="18"/>
          <w:szCs w:val="18"/>
        </w:rPr>
        <w:t xml:space="preserve">How to use this register</w:t>
      </w:r>
    </w:p>
    <w:p>
      <w:pPr>
        <w:tabs>
          <w:tab w:val="left" w:pos="460"/>
        </w:tabs>
        <w:spacing w:after="60"/>
        <w:ind w:left="460" w:hanging="460"/>
      </w:pPr>
      <w:r>
        <w:rPr>
          <w:rFonts w:ascii="Poppins" w:cs="Poppins" w:eastAsia="Poppins" w:hAnsi="Poppins"/>
          <w:b/>
          <w:bCs/>
          <w:color w:val="1273AD"/>
          <w:sz w:val="18"/>
          <w:szCs w:val="18"/>
        </w:rPr>
        <w:t xml:space="preserve">2</w:t>
      </w:r>
      <w:r>
        <w:rPr>
          <w:sz w:val="18"/>
          <w:szCs w:val="18"/>
        </w:rPr>
        <w:tab/>
      </w:r>
      <w:r>
        <w:rPr>
          <w:rFonts w:ascii="Inter" w:cs="Inter" w:eastAsia="Inter" w:hAnsi="Inter"/>
          <w:color w:val="1F2937"/>
          <w:sz w:val="18"/>
          <w:szCs w:val="18"/>
        </w:rPr>
        <w:t xml:space="preserve">Part A — Designation and threshold</w:t>
      </w:r>
    </w:p>
    <w:p>
      <w:pPr>
        <w:tabs>
          <w:tab w:val="left" w:pos="460"/>
        </w:tabs>
        <w:spacing w:after="60"/>
        <w:ind w:left="460" w:hanging="460"/>
      </w:pPr>
      <w:r>
        <w:rPr>
          <w:rFonts w:ascii="Poppins" w:cs="Poppins" w:eastAsia="Poppins" w:hAnsi="Poppins"/>
          <w:b/>
          <w:bCs/>
          <w:color w:val="1273AD"/>
          <w:sz w:val="18"/>
          <w:szCs w:val="18"/>
        </w:rPr>
        <w:t xml:space="preserve">3</w:t>
      </w:r>
      <w:r>
        <w:rPr>
          <w:sz w:val="18"/>
          <w:szCs w:val="18"/>
        </w:rPr>
        <w:tab/>
      </w:r>
      <w:r>
        <w:rPr>
          <w:rFonts w:ascii="Inter" w:cs="Inter" w:eastAsia="Inter" w:hAnsi="Inter"/>
          <w:color w:val="1F2937"/>
          <w:sz w:val="18"/>
          <w:szCs w:val="18"/>
        </w:rPr>
        <w:t xml:space="preserve">Part B — Registered energy manager</w:t>
      </w:r>
    </w:p>
    <w:p>
      <w:pPr>
        <w:tabs>
          <w:tab w:val="left" w:pos="460"/>
        </w:tabs>
        <w:spacing w:after="60"/>
        <w:ind w:left="460" w:hanging="460"/>
      </w:pPr>
      <w:r>
        <w:rPr>
          <w:rFonts w:ascii="Poppins" w:cs="Poppins" w:eastAsia="Poppins" w:hAnsi="Poppins"/>
          <w:b/>
          <w:bCs/>
          <w:color w:val="1273AD"/>
          <w:sz w:val="18"/>
          <w:szCs w:val="18"/>
        </w:rPr>
        <w:t xml:space="preserve">4</w:t>
      </w:r>
      <w:r>
        <w:rPr>
          <w:sz w:val="18"/>
          <w:szCs w:val="18"/>
        </w:rPr>
        <w:tab/>
      </w:r>
      <w:r>
        <w:rPr>
          <w:rFonts w:ascii="Inter" w:cs="Inter" w:eastAsia="Inter" w:hAnsi="Inter"/>
          <w:color w:val="1F2937"/>
          <w:sz w:val="18"/>
          <w:szCs w:val="18"/>
        </w:rPr>
        <w:t xml:space="preserve">Part C — Energy management system</w:t>
      </w:r>
    </w:p>
    <w:p>
      <w:pPr>
        <w:tabs>
          <w:tab w:val="left" w:pos="460"/>
        </w:tabs>
        <w:spacing w:after="60"/>
        <w:ind w:left="460" w:hanging="460"/>
      </w:pPr>
      <w:r>
        <w:rPr>
          <w:rFonts w:ascii="Poppins" w:cs="Poppins" w:eastAsia="Poppins" w:hAnsi="Poppins"/>
          <w:b/>
          <w:bCs/>
          <w:color w:val="1273AD"/>
          <w:sz w:val="18"/>
          <w:szCs w:val="18"/>
        </w:rPr>
        <w:t xml:space="preserve">5</w:t>
      </w:r>
      <w:r>
        <w:rPr>
          <w:sz w:val="18"/>
          <w:szCs w:val="18"/>
        </w:rPr>
        <w:tab/>
      </w:r>
      <w:r>
        <w:rPr>
          <w:rFonts w:ascii="Inter" w:cs="Inter" w:eastAsia="Inter" w:hAnsi="Inter"/>
          <w:color w:val="1F2937"/>
          <w:sz w:val="18"/>
          <w:szCs w:val="18"/>
        </w:rPr>
        <w:t xml:space="preserve">Part D — EE&amp;C report</w:t>
      </w:r>
    </w:p>
    <w:p>
      <w:pPr>
        <w:tabs>
          <w:tab w:val="left" w:pos="460"/>
        </w:tabs>
        <w:spacing w:after="60"/>
        <w:ind w:left="460" w:hanging="460"/>
      </w:pPr>
      <w:r>
        <w:rPr>
          <w:rFonts w:ascii="Poppins" w:cs="Poppins" w:eastAsia="Poppins" w:hAnsi="Poppins"/>
          <w:b/>
          <w:bCs/>
          <w:color w:val="1273AD"/>
          <w:sz w:val="18"/>
          <w:szCs w:val="18"/>
        </w:rPr>
        <w:t xml:space="preserve">6</w:t>
      </w:r>
      <w:r>
        <w:rPr>
          <w:sz w:val="18"/>
          <w:szCs w:val="18"/>
        </w:rPr>
        <w:tab/>
      </w:r>
      <w:r>
        <w:rPr>
          <w:rFonts w:ascii="Inter" w:cs="Inter" w:eastAsia="Inter" w:hAnsi="Inter"/>
          <w:color w:val="1F2937"/>
          <w:sz w:val="18"/>
          <w:szCs w:val="18"/>
        </w:rPr>
        <w:t xml:space="preserve">Part E — Energy audit</w:t>
      </w:r>
    </w:p>
    <w:p>
      <w:pPr>
        <w:tabs>
          <w:tab w:val="left" w:pos="460"/>
        </w:tabs>
        <w:spacing w:after="60"/>
        <w:ind w:left="460" w:hanging="460"/>
      </w:pPr>
      <w:r>
        <w:rPr>
          <w:rFonts w:ascii="Poppins" w:cs="Poppins" w:eastAsia="Poppins" w:hAnsi="Poppins"/>
          <w:b/>
          <w:bCs/>
          <w:color w:val="1273AD"/>
          <w:sz w:val="18"/>
          <w:szCs w:val="18"/>
        </w:rPr>
        <w:t xml:space="preserve">7</w:t>
      </w:r>
      <w:r>
        <w:rPr>
          <w:sz w:val="18"/>
          <w:szCs w:val="18"/>
        </w:rPr>
        <w:tab/>
      </w:r>
      <w:r>
        <w:rPr>
          <w:rFonts w:ascii="Inter" w:cs="Inter" w:eastAsia="Inter" w:hAnsi="Inter"/>
          <w:color w:val="1F2937"/>
          <w:sz w:val="18"/>
          <w:szCs w:val="18"/>
        </w:rPr>
        <w:t xml:space="preserve">Part F — Officer-level exposure</w:t>
      </w:r>
    </w:p>
    <w:p>
      <w:pPr>
        <w:tabs>
          <w:tab w:val="left" w:pos="460"/>
        </w:tabs>
        <w:spacing w:after="60"/>
        <w:ind w:left="460" w:hanging="460"/>
      </w:pPr>
      <w:r>
        <w:rPr>
          <w:rFonts w:ascii="Poppins" w:cs="Poppins" w:eastAsia="Poppins" w:hAnsi="Poppins"/>
          <w:b/>
          <w:bCs/>
          <w:color w:val="1273AD"/>
          <w:sz w:val="18"/>
          <w:szCs w:val="18"/>
        </w:rPr>
        <w:t xml:space="preserve">8</w:t>
      </w:r>
      <w:r>
        <w:rPr>
          <w:sz w:val="18"/>
          <w:szCs w:val="18"/>
        </w:rPr>
        <w:tab/>
      </w:r>
      <w:r>
        <w:rPr>
          <w:rFonts w:ascii="Inter" w:cs="Inter" w:eastAsia="Inter" w:hAnsi="Inter"/>
          <w:color w:val="1F2937"/>
          <w:sz w:val="18"/>
          <w:szCs w:val="18"/>
        </w:rPr>
        <w:t xml:space="preserve">Review log</w:t>
      </w:r>
    </w:p>
    <w:p>
      <w:pPr>
        <w:spacing w:after="200"/>
      </w:pPr>
      <w:r>
        <w:rPr>
          <w:sz w:val="2"/>
          <w:szCs w:val="2"/>
        </w:rPr>
        <w:t xml:space="preserv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How to use this register</w:t>
      </w:r>
    </w:p>
    <w:p>
      <w:pPr>
        <w:pStyle w:val="ListParagraph"/>
        <w:numPr>
          <w:ilvl w:val="0"/>
          <w:numId w:val="2"/>
        </w:numPr>
        <w:spacing w:after="90" w:line="290"/>
        <w:jc w:val="both"/>
      </w:pPr>
      <w:r>
        <w:rPr>
          <w:rFonts w:ascii="Inter" w:cs="Inter" w:eastAsia="Inter" w:hAnsi="Inter"/>
          <w:color w:val="1F2937"/>
          <w:sz w:val="20"/>
          <w:szCs w:val="20"/>
        </w:rPr>
        <w:t xml:space="preserve">Assign every row an </w:t>
      </w:r>
      <w:r>
        <w:rPr>
          <w:rFonts w:ascii="Inter" w:cs="Inter" w:eastAsia="Inter" w:hAnsi="Inter"/>
          <w:b/>
          <w:bCs/>
          <w:color w:val="1F2937"/>
          <w:sz w:val="20"/>
          <w:szCs w:val="20"/>
        </w:rPr>
        <w:t xml:space="preserve">owner</w:t>
      </w:r>
      <w:r>
        <w:rPr>
          <w:rFonts w:ascii="Inter" w:cs="Inter" w:eastAsia="Inter" w:hAnsi="Inter"/>
          <w:color w:val="1F2937"/>
          <w:sz w:val="20"/>
          <w:szCs w:val="20"/>
        </w:rPr>
        <w:t xml:space="preserve"> (a person, not a department) and set the status: </w:t>
      </w:r>
      <w:r>
        <w:rPr>
          <w:rFonts w:ascii="Inter" w:cs="Inter" w:eastAsia="Inter" w:hAnsi="Inter"/>
          <w:b/>
          <w:bCs/>
          <w:color w:val="1F2937"/>
          <w:sz w:val="20"/>
          <w:szCs w:val="20"/>
        </w:rPr>
        <w:t xml:space="preserve">Met</w:t>
      </w:r>
      <w:r>
        <w:rPr>
          <w:rFonts w:ascii="Inter" w:cs="Inter" w:eastAsia="Inter" w:hAnsi="Inter"/>
          <w:color w:val="1F2937"/>
          <w:sz w:val="20"/>
          <w:szCs w:val="20"/>
        </w:rPr>
        <w:t xml:space="preserve"> / </w:t>
      </w:r>
      <w:r>
        <w:rPr>
          <w:rFonts w:ascii="Inter" w:cs="Inter" w:eastAsia="Inter" w:hAnsi="Inter"/>
          <w:b/>
          <w:bCs/>
          <w:color w:val="1F2937"/>
          <w:sz w:val="20"/>
          <w:szCs w:val="20"/>
        </w:rPr>
        <w:t xml:space="preserve">In progress</w:t>
      </w:r>
      <w:r>
        <w:rPr>
          <w:rFonts w:ascii="Inter" w:cs="Inter" w:eastAsia="Inter" w:hAnsi="Inter"/>
          <w:color w:val="1F2937"/>
          <w:sz w:val="20"/>
          <w:szCs w:val="20"/>
        </w:rPr>
        <w:t xml:space="preserve"> / </w:t>
      </w:r>
      <w:r>
        <w:rPr>
          <w:rFonts w:ascii="Inter" w:cs="Inter" w:eastAsia="Inter" w:hAnsi="Inter"/>
          <w:b/>
          <w:bCs/>
          <w:color w:val="1F2937"/>
          <w:sz w:val="20"/>
          <w:szCs w:val="20"/>
        </w:rPr>
        <w:t xml:space="preserve">Not met</w:t>
      </w:r>
      <w:r>
        <w:rPr>
          <w:rFonts w:ascii="Inter" w:cs="Inter" w:eastAsia="Inter" w:hAnsi="Inter"/>
          <w:color w:val="1F2937"/>
          <w:sz w:val="20"/>
          <w:szCs w:val="20"/>
        </w:rPr>
        <w:t xml:space="preserve"> / </w:t>
      </w:r>
      <w:r>
        <w:rPr>
          <w:rFonts w:ascii="Inter" w:cs="Inter" w:eastAsia="Inter" w:hAnsi="Inter"/>
          <w:b/>
          <w:bCs/>
          <w:color w:val="1F2937"/>
          <w:sz w:val="20"/>
          <w:szCs w:val="20"/>
        </w:rPr>
        <w:t xml:space="preserve">N/A (with reason)</w:t>
      </w:r>
      <w:r>
        <w:rPr>
          <w:rFonts w:ascii="Inter" w:cs="Inter" w:eastAsia="Inter" w:hAnsi="Inter"/>
          <w:color w:val="1F2937"/>
          <w:sz w:val="20"/>
          <w:szCs w:val="20"/>
        </w:rPr>
        <w:t xml:space="preserve">.</w:t>
      </w:r>
    </w:p>
    <w:p>
      <w:pPr>
        <w:pStyle w:val="ListParagraph"/>
        <w:numPr>
          <w:ilvl w:val="0"/>
          <w:numId w:val="2"/>
        </w:numPr>
        <w:spacing w:after="90" w:line="290"/>
        <w:jc w:val="both"/>
      </w:pPr>
      <w:r>
        <w:rPr>
          <w:rFonts w:ascii="Inter" w:cs="Inter" w:eastAsia="Inter" w:hAnsi="Inter"/>
          <w:color w:val="1F2937"/>
          <w:sz w:val="20"/>
          <w:szCs w:val="20"/>
        </w:rPr>
        <w:t xml:space="preserve">Review the register at every Committee meeting (standing agenda item 6 in the C3 minutes template) and at the annual management review — that review is the GP46 para. 8.2(g) legal-compliance evaluation.</w:t>
      </w:r>
    </w:p>
    <w:p>
      <w:pPr>
        <w:pStyle w:val="ListParagraph"/>
        <w:numPr>
          <w:ilvl w:val="0"/>
          <w:numId w:val="2"/>
        </w:numPr>
        <w:spacing w:after="90" w:line="290"/>
        <w:jc w:val="both"/>
      </w:pPr>
      <w:r>
        <w:rPr>
          <w:rFonts w:ascii="Inter" w:cs="Inter" w:eastAsia="Inter" w:hAnsi="Inter"/>
          <w:color w:val="1F2937"/>
          <w:sz w:val="20"/>
          <w:szCs w:val="20"/>
        </w:rPr>
        <w:t xml:space="preserve">Enter your own anchor dates (notice date, REM appointment date) and compute the actual deadlines. Keep the computed dates in your Committee calendar and in this register.</w:t>
      </w:r>
    </w:p>
    <w:p>
      <w:pPr>
        <w:pStyle w:val="ListParagraph"/>
        <w:numPr>
          <w:ilvl w:val="0"/>
          <w:numId w:val="2"/>
        </w:numPr>
        <w:spacing w:after="90" w:line="290"/>
        <w:jc w:val="both"/>
      </w:pPr>
      <w:r>
        <w:rPr>
          <w:rFonts w:ascii="Inter" w:cs="Inter" w:eastAsia="Inter" w:hAnsi="Inter"/>
          <w:color w:val="1F2937"/>
          <w:sz w:val="20"/>
          <w:szCs w:val="20"/>
        </w:rPr>
        <w:t xml:space="preserve">Penalties cited are the statutory maxima for each offence; offences are separate and can accumulate. Under </w:t>
      </w:r>
      <w:r>
        <w:rPr>
          <w:rFonts w:ascii="Inter" w:cs="Inter" w:eastAsia="Inter" w:hAnsi="Inter"/>
          <w:b/>
          <w:bCs/>
          <w:color w:val="1F2937"/>
          <w:sz w:val="20"/>
          <w:szCs w:val="20"/>
        </w:rPr>
        <w:t xml:space="preserve">s.62</w:t>
      </w:r>
      <w:r>
        <w:rPr>
          <w:rFonts w:ascii="Inter" w:cs="Inter" w:eastAsia="Inter" w:hAnsi="Inter"/>
          <w:color w:val="1F2937"/>
          <w:sz w:val="20"/>
          <w:szCs w:val="20"/>
        </w:rPr>
        <w:t xml:space="preserve">, directors, compliance officers, partners, managers and similar officers may be charged jointly or severally with the body corporate and are deemed liable on its conviction unless the statutory defence (no knowledge; no consent or connivance; all reasonable precautions and due diligence) is made out.</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Part A — Designation and threshold</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 / matter</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A1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Know the designation basis: the Act applies to an energy consumer whose energy consumption over any twelve consecutive months equals or exceeds the prescribed threshold, in respect of an activity, business or trade carried out in one place.</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s.3(1)(a), s.3(5)</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Continuous self-monitoring against the threshold</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A2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Threshold value: 21,600 gigajoules. Consumption is assessed per GP/ST/No.44/2024 (Guidelines on Ascertaining Energy Consumer), current revision.</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 3; GP44</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A3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Designation is effected by the Commission’s written notice under s.3(3). Record the notice date — it anchors the REM, audit and external-REM clocks.</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s.3(2)–(3)</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On receipt — file the notice; enter the date here: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Part B — Registered energy manager</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Appoint a registered energy manager (REM).</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s.5(1)</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Within 3 months of the s.3(3) notice (reg 4(2))</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 s.5(3)</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Appointment route: among employees (reg 4(1)); or an external REM under reg 6(1) for a period not exceeding 3 years from the notice date. On expiry of an external appointment, appoint internally in accordance with reg 4 immediately.</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regs 4(1), 6(1), 6(4)</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External route ends: notice date + 3 years =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REM tier must match consumption: 21,600–50,000 GJ → REM fulfilling reg 14; exceeding 50,000 GJ → REM fulfilling subreg 14(2) or (3).</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 5(a)–(b)</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At appointment and on band change</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B4</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Respect REM workload caps: internal REM — up to 7 other energy consumers that are related corporations (reg 4(4)); external REM — up to 7 other energy consumers (reg 6(3)).</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regs 4(4), 6(3)</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At appointment; verify annually</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B5</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Notify the Commission of the appointment by electronic means.</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regs 4(3), 6(2)</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On appointment</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B6</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On vacancy: serve notice to the Commission within 14 days; appoint a replacement from among employees within 3 months (external replacement only with the Commission’s written approval and conditions).</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 7(1)–(3)</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Vacancy date + 14 days / + 3 months</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RM10,000 for late/no vacancy notice (reg 7(1) breach) — reg 7(4)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B7</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Ensure the REM discharges the statutory functions and duties in s.5(2)(a)–(g), as detailed in GP/ST/No.47/2024 (data collection and analysis; EnMS implementation and monitoring; EE&amp;C report preparation and accuracy; ESM advice; other duties determined by the Commission).</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s.5(2); GP47 para. 3</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Continuous</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RM20,000 (on the REM) — s.5(4)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4</w:t>
      </w:r>
      <w:r>
        <w:rPr>
          <w:rFonts w:ascii="Poppins" w:cs="Poppins" w:eastAsia="Poppins" w:hAnsi="Poppins"/>
          <w:sz w:val="30"/>
          <w:szCs w:val="30"/>
        </w:rPr>
        <w:tab/>
      </w:r>
      <w:r>
        <w:rPr>
          <w:rFonts w:ascii="Poppins" w:cs="Poppins" w:eastAsia="Poppins" w:hAnsi="Poppins"/>
          <w:b/>
          <w:bCs/>
          <w:color w:val="111827"/>
          <w:sz w:val="30"/>
          <w:szCs w:val="30"/>
        </w:rPr>
        <w:t xml:space="preserve">Part C — Energy management system</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Develop an energy management system and implement it.</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s.6(1); reg 8</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Within 1 year from the REM appointment under reg 4(1)/6(1): appointment date + 1 year =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 s.6(3)</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Develop and implement the EnMS in accordance with the guidelines — GP/ST/No.46/2024: commitment and policy (para. 4), planning, baseline and targets (para. 5), action plan (para. 6), implementation (para. 7), measurement and management review (para. 8), with ongoing documentation (para. 3.4).</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s.6(2); GP46</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Continuous once developed</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RM20,000 — s.6(4)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C3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Hold Energy Management Committee meetings not less than 4 times a year, minuted and endorsed; management review with top management at least once a year, minutes endorsed by top management.</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GP46 para. 4.3(b), para. 8.3; GP47 para. 3(c)</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Standing calendar</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(evidence for C2)</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5</w:t>
      </w:r>
      <w:r>
        <w:rPr>
          <w:rFonts w:ascii="Poppins" w:cs="Poppins" w:eastAsia="Poppins" w:hAnsi="Poppins"/>
          <w:sz w:val="30"/>
          <w:szCs w:val="30"/>
        </w:rPr>
        <w:tab/>
      </w:r>
      <w:r>
        <w:rPr>
          <w:rFonts w:ascii="Poppins" w:cs="Poppins" w:eastAsia="Poppins" w:hAnsi="Poppins"/>
          <w:b/>
          <w:bCs/>
          <w:color w:val="111827"/>
          <w:sz w:val="30"/>
          <w:szCs w:val="30"/>
        </w:rPr>
        <w:t xml:space="preserve">Part D — EE&amp;C report</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D1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The REM prepares the energy efficiency and conservation report with the statutory content: (a) description of the EnMS implemented; (b) total amount and purpose of consumption of energy and energy resources; (c) proposed EE&amp;C improvement measures; (d) measures already implemented and yet to be implemented; (e) any other information required by the Commission — in the structure of GP/ST/No.45/2024.</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s.7(1); GP45 para. 4.1</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Annually, ahead of the submission window</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RM20,000 (on the REM) — s.7(3)</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D2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Submit the first EE&amp;C report to the Commission by electronic means.</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s.7(2); reg 9(a)</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Within 30 days after the expiry of 1 year from the REM appointment date: =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 s.7(4)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D3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Submit subsequent EE&amp;C reports — annually, within 30 days after each successive anniversary of the REM appointment, as illustrated in the submission-process timeline in GP45 Figure 1 (para. 3.2): one year between successive reports, each with a 30-day submission window. Regulation 9(b) verbatim: "for the subsequent energy efficiency and conservation report, that energy efficiency and conservation report shall be submitted to the Commission by the electronic means annually, within thirty days after the expiry of one year from the anniversary date of the appointment of the registered energy manager under subregulation 4(1) or 6(1)."</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s.7(2); reg 9(b); GP45 para. 3.2 Fig. 1</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Annual — anniversary + 30 days each year: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 s.7(4)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6</w:t>
      </w:r>
      <w:r>
        <w:rPr>
          <w:rFonts w:ascii="Poppins" w:cs="Poppins" w:eastAsia="Poppins" w:hAnsi="Poppins"/>
          <w:sz w:val="30"/>
          <w:szCs w:val="30"/>
        </w:rPr>
        <w:tab/>
      </w:r>
      <w:r>
        <w:rPr>
          <w:rFonts w:ascii="Poppins" w:cs="Poppins" w:eastAsia="Poppins" w:hAnsi="Poppins"/>
          <w:b/>
          <w:bCs/>
          <w:color w:val="111827"/>
          <w:sz w:val="30"/>
          <w:szCs w:val="30"/>
        </w:rPr>
        <w:t xml:space="preserve">Part E — Energy audit</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E1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Cause an energy audit to be conducted from time to time so as to meet the audit report submission requirements, and appoint a registered energy auditor (REA) to conduct it.</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s.8(1)–(2)</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In time to submit per reg 10</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(failure to appoint REA) — s.8(4)</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E2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Submit the energy audit report (prepared by the REA in accordance with the guidelines — GP/ST/No.49/2024) to the Commission by electronic means. Note: the Commission may require additional information (report may be refused if it is not given — s.9(6)) and may direct rectification or a new report where the report is not per the guidelines or is insufficient (s.9(7)–(8)).</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s.9(1)–(2), (6)–(8); reg 10(1)(a); GP49</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First report: within 1 year of the s.3(3) notice =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RM50,000 (failure to submit under s.9(2)/(8)) — s.9(10)</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E3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Subsequent audit reports: on the fifth year, for every five years from the date of the last submission (or per any written notice of exemption).</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reg 10(1)(b)–(c)</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Last submission + 5 years =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E4</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Optional: apply for exemption from subsequent audit reports (demonstrated significant EE&amp;C measures and improvement), within the first three months of the fifth year.</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s.9(3)–(5); reg 10(2)</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Window opens: __________</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7</w:t>
      </w:r>
      <w:r>
        <w:rPr>
          <w:rFonts w:ascii="Poppins" w:cs="Poppins" w:eastAsia="Poppins" w:hAnsi="Poppins"/>
          <w:sz w:val="30"/>
          <w:szCs w:val="30"/>
        </w:rPr>
        <w:tab/>
      </w:r>
      <w:r>
        <w:rPr>
          <w:rFonts w:ascii="Poppins" w:cs="Poppins" w:eastAsia="Poppins" w:hAnsi="Poppins"/>
          <w:b/>
          <w:bCs/>
          <w:color w:val="111827"/>
          <w:sz w:val="30"/>
          <w:szCs w:val="30"/>
        </w:rPr>
        <w:t xml:space="preserve">Part F — Officer-level exposure</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00"/>
        <w:gridCol w:w="3400"/>
        <w:gridCol w:w="1250"/>
        <w:gridCol w:w="2000"/>
        <w:gridCol w:w="1476"/>
        <w:gridCol w:w="1120"/>
      </w:tblGrid>
      <w:tr>
        <w:trPr>
          <w:cantSplit/>
          <w:tblHeader/>
        </w:trPr>
        <w:tc>
          <w:tcPr>
            <w:tcW w:type="dxa" w:w="5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34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Matter</w:t>
            </w:r>
          </w:p>
        </w:tc>
        <w:tc>
          <w:tcPr>
            <w:tcW w:type="dxa" w:w="12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Citation</w:t>
            </w:r>
          </w:p>
        </w:tc>
        <w:tc>
          <w:tcPr>
            <w:tcW w:type="dxa" w:w="20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Deadline / trigger</w:t>
            </w:r>
          </w:p>
        </w:tc>
        <w:tc>
          <w:tcPr>
            <w:tcW w:type="dxa" w:w="14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Penalty (max)</w:t>
            </w:r>
          </w:p>
        </w:tc>
        <w:tc>
          <w:tcPr>
            <w:tcW w:type="dxa" w:w="112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Owner · Status</w:t>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F1</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Director and officer liability: where a body corporate commits an offence under the Act, its directors, compliance officers, partners, managers, secretaries and similar officers (and persons purporting to act in such capacity or responsible for management) may be charged severally or jointly, and on the body’s conviction are deemed guilty and liable to the same punishment — unless the officer proves the offence was committed without their knowledge and without their consent or connivance, and that they took all reasonable precautions and exercised due diligence.</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s.62</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Continuous — brief the board annually</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Same punishment as the underlying offence</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F2</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Provision of information: on the Commission’s written notice, give the information, particulars or documents directed, in the manner, form and period specified — and ensure everything given is true and complete.</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s.38(1)–(3)</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On notice, within the period specified</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RM100,000 or 2 years’ imprisonment or both (non-compliance) — s.38(4); RM100,000 (untrue or incomplete) — s.38(5)</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r>
        <w:trPr>
          <w:cantSplit/>
        </w:trPr>
        <w:tc>
          <w:tcPr>
            <w:tcW w:type="dxa" w:w="50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F3</w:t>
            </w:r>
          </w:p>
        </w:tc>
        <w:tc>
          <w:tcPr>
            <w:tcW w:type="dxa" w:w="3400"/>
            <w:tcMar>
              <w:top w:type="dxa" w:w="70"/>
              <w:left w:type="dxa" w:w="100"/>
              <w:bottom w:type="dxa" w:w="70"/>
              <w:right w:type="dxa" w:w="100"/>
            </w:tcMar>
            <w:vAlign w:val="top"/>
          </w:tcPr>
          <w:p>
            <w:pPr>
              <w:spacing w:after="0" w:line="250"/>
            </w:pPr>
            <w:r>
              <w:rPr>
                <w:rFonts w:ascii="Inter" w:cs="Inter" w:eastAsia="Inter" w:hAnsi="Inter"/>
                <w:color w:val="1F2937"/>
                <w:sz w:val="18"/>
                <w:szCs w:val="18"/>
              </w:rPr>
              <w:t xml:space="preserve">Access to records: on the Commission’s written notice, allow the Commission, its authorised officers or specified persons access to records for the purposes of the Act.</w:t>
            </w:r>
          </w:p>
        </w:tc>
        <w:tc>
          <w:tcPr>
            <w:tcW w:type="dxa" w:w="1250"/>
            <w:tcMar>
              <w:top w:type="dxa" w:w="70"/>
              <w:left w:type="dxa" w:w="100"/>
              <w:bottom w:type="dxa" w:w="70"/>
              <w:right w:type="dxa" w:w="100"/>
            </w:tcMar>
            <w:vAlign w:val="top"/>
          </w:tcPr>
          <w:p>
            <w:pPr>
              <w:spacing w:after="0"/>
            </w:pPr>
            <w:r>
              <w:rPr>
                <w:rFonts w:ascii="Inter" w:cs="Inter" w:eastAsia="Inter" w:hAnsi="Inter"/>
                <w:color w:val="4B5563"/>
                <w:sz w:val="16"/>
                <w:szCs w:val="16"/>
              </w:rPr>
              <w:t xml:space="preserve">Act s.40(1)</w:t>
            </w:r>
          </w:p>
        </w:tc>
        <w:tc>
          <w:tcPr>
            <w:tcW w:type="dxa" w:w="2000"/>
            <w:tcMar>
              <w:top w:type="dxa" w:w="70"/>
              <w:left w:type="dxa" w:w="100"/>
              <w:bottom w:type="dxa" w:w="70"/>
              <w:right w:type="dxa" w:w="100"/>
            </w:tcMar>
            <w:vAlign w:val="top"/>
          </w:tcPr>
          <w:p>
            <w:pPr>
              <w:spacing w:after="0" w:line="250"/>
            </w:pPr>
            <w:r>
              <w:rPr>
                <w:rFonts w:ascii="Inter" w:cs="Inter" w:eastAsia="Inter" w:hAnsi="Inter"/>
                <w:color w:val="1F2937"/>
                <w:sz w:val="17"/>
                <w:szCs w:val="17"/>
              </w:rPr>
              <w:t xml:space="preserve">On request</w:t>
            </w:r>
          </w:p>
        </w:tc>
        <w:tc>
          <w:tcPr>
            <w:tcW w:type="dxa" w:w="1476"/>
            <w:tcMar>
              <w:top w:type="dxa" w:w="70"/>
              <w:left w:type="dxa" w:w="100"/>
              <w:bottom w:type="dxa" w:w="70"/>
              <w:right w:type="dxa" w:w="100"/>
            </w:tcMar>
            <w:vAlign w:val="top"/>
          </w:tcPr>
          <w:p>
            <w:pPr>
              <w:spacing w:after="0" w:line="250"/>
            </w:pPr>
            <w:r>
              <w:rPr>
                <w:rFonts w:ascii="Inter" w:cs="Inter" w:eastAsia="Inter" w:hAnsi="Inter"/>
                <w:color w:val="1F2937"/>
                <w:sz w:val="16"/>
                <w:szCs w:val="16"/>
              </w:rPr>
              <w:t xml:space="preserve">RM20,000 — s.40(2)</w:t>
            </w:r>
          </w:p>
        </w:tc>
        <w:tc>
          <w:tcPr>
            <w:tcW w:type="dxa" w:w="1120"/>
            <w:tcMar>
              <w:top w:type="dxa" w:w="70"/>
              <w:left w:type="dxa" w:w="100"/>
              <w:bottom w:type="dxa" w:w="70"/>
              <w:right w:type="dxa" w:w="100"/>
            </w:tcMar>
            <w:vAlign w:val="top"/>
          </w:tcPr>
          <w:p>
            <w:pPr>
              <w:spacing w:after="0" w:line="260"/>
            </w:pPr>
            <w:r>
              <w:rPr>
                <w:rFonts w:ascii="Inter" w:cs="Inter" w:eastAsia="Inter" w:hAnsi="Inter"/>
                <w:color w:val="1F2937"/>
                <w:sz w:val="17"/>
                <w:szCs w:val="17"/>
              </w:rPr>
              <w:t xml:space="preserve"/>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8</w:t>
      </w:r>
      <w:r>
        <w:rPr>
          <w:rFonts w:ascii="Poppins" w:cs="Poppins" w:eastAsia="Poppins" w:hAnsi="Poppins"/>
          <w:sz w:val="30"/>
          <w:szCs w:val="30"/>
        </w:rPr>
        <w:tab/>
      </w:r>
      <w:r>
        <w:rPr>
          <w:rFonts w:ascii="Poppins" w:cs="Poppins" w:eastAsia="Poppins" w:hAnsi="Poppins"/>
          <w:b/>
          <w:bCs/>
          <w:color w:val="111827"/>
          <w:sz w:val="30"/>
          <w:szCs w:val="30"/>
        </w:rPr>
        <w:t xml:space="preserve">Review log</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1450"/>
        <w:gridCol w:w="1933"/>
        <w:gridCol w:w="2977"/>
        <w:gridCol w:w="3386"/>
      </w:tblGrid>
      <w:tr>
        <w:trPr>
          <w:cantSplit/>
          <w:tblHeader/>
        </w:trPr>
        <w:tc>
          <w:tcPr>
            <w:tcW w:type="dxa" w:w="1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Review date</w:t>
            </w:r>
          </w:p>
        </w:tc>
        <w:tc>
          <w:tcPr>
            <w:tcW w:type="dxa" w:w="1933"/>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Reviewed by</w:t>
            </w:r>
          </w:p>
        </w:tc>
        <w:tc>
          <w:tcPr>
            <w:tcW w:type="dxa" w:w="2977"/>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Forum (Committee / management review)</w:t>
            </w:r>
          </w:p>
        </w:tc>
        <w:tc>
          <w:tcPr>
            <w:tcW w:type="dxa" w:w="338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Changes / findings</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93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97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338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93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97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338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933"/>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297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338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pPr>
        <w:spacing w:before="160"/>
        <w:jc w:val="both"/>
      </w:pPr>
      <w:r>
        <w:rPr>
          <w:rFonts w:ascii="Inter" w:cs="Inter" w:eastAsia="Inter" w:hAnsi="Inter"/>
          <w:color w:val="4B5563"/>
          <w:sz w:val="18"/>
          <w:szCs w:val="18"/>
        </w:rPr>
        <w:t xml:space="preserve">Scope note: this register covers the duties of a designated energy consumer under Part III of Act 861 and the EEC Regulations 2024. Duties of persons in charge of buildings (energy intensity labelling, Part IV) and of manufacturers/importers of energy-using products (Part V) are out of scope — ask Innovast if either applies to your organisation. The Act applies to Peninsular Malaysia and the Federal Territory of Labuan (s.1(3)).</w:t>
      </w:r>
    </w:p>
    <w:tbl>
      <w:tblPr>
        <w:tblW w:type="dxa" w:w="9746"/>
        <w:tblBorders>
          <w:top w:val="single" w:color="E5E7EB" w:sz="4"/>
          <w:left w:val="single" w:color="00BF63"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80"/>
              <w:jc w:val="both"/>
            </w:pPr>
            <w:r>
              <w:rPr>
                <w:rFonts w:ascii="Inter" w:cs="Inter" w:eastAsia="Inter" w:hAnsi="Inter"/>
                <w:b/>
                <w:bCs/>
                <w:color w:val="111827"/>
                <w:sz w:val="20"/>
                <w:szCs w:val="20"/>
              </w:rPr>
              <w:t xml:space="preserve">Keep this register live, not annual. </w:t>
            </w:r>
            <w:r>
              <w:rPr>
                <w:rFonts w:ascii="Inter" w:cs="Inter" w:eastAsia="Inter" w:hAnsi="Inter"/>
                <w:color w:val="1F2937"/>
                <w:sz w:val="20"/>
                <w:szCs w:val="20"/>
              </w:rPr>
              <w:t xml:space="preserve">InnoSense tracks the deadline cascade and the evidence trail behind every row — automatically, all year. Register interest at </w:t>
            </w:r>
            <w:r>
              <w:rPr>
                <w:rFonts w:ascii="Inter" w:cs="Inter" w:eastAsia="Inter" w:hAnsi="Inter"/>
                <w:b/>
                <w:bCs/>
                <w:color w:val="1273AD"/>
                <w:sz w:val="20"/>
                <w:szCs w:val="20"/>
              </w:rPr>
              <w:t xml:space="preserve">eeca2024.my</w:t>
            </w:r>
            <w:r>
              <w:rPr>
                <w:rFonts w:ascii="Inter" w:cs="Inter" w:eastAsia="Inter" w:hAnsi="Inter"/>
                <w:color w:val="1F2937"/>
                <w:sz w:val="20"/>
                <w:szCs w:val="20"/>
              </w:rPr>
              <w:t xml:space="preserve"> · </w:t>
            </w:r>
            <w:r>
              <w:rPr>
                <w:rFonts w:ascii="Inter" w:cs="Inter" w:eastAsia="Inter" w:hAnsi="Inter"/>
                <w:b/>
                <w:bCs/>
                <w:color w:val="1273AD"/>
                <w:sz w:val="20"/>
                <w:szCs w:val="20"/>
              </w:rPr>
              <w:t xml:space="preserve">anslem@innovast.asia</w:t>
            </w:r>
          </w:p>
        </w:tc>
      </w:tr>
    </w:tbl>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C4</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Legal &amp; Obligations Register</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  </w:t>
            </w:r>
            <w:r>
              <w:rPr>
                <w:rFonts w:ascii="Inter" w:cs="Inter" w:eastAsia="Inter" w:hAnsi="Inter"/>
                <w:b/>
                <w:bCs/>
                <w:color w:val="1273AD"/>
                <w:sz w:val="16"/>
                <w:szCs w:val="16"/>
              </w:rPr>
              <w:t xml:space="preserve">(this document)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FB00FA56-292C-4267-9AEA-A8363ABC0F97}"/>
    <w:embedBold r:id="rIdFont2" w:fontKey="{5071CB8C-6A29-4642-9B03-80CB63E53E3B}"/>
  </w:font>
  <w:font w:name="Inter">
    <w:charset w:val="00"/>
    <w:family w:val="swiss"/>
    <w:pitch w:val="variable"/>
    <w:embedRegular r:id="rIdFont3" w:fontKey="{228C450C-639A-42D8-9E46-EE804515C820}"/>
    <w:embedBold r:id="rIdFont4" w:fontKey="{CCB6653D-EDFA-49BA-BAA5-1D79E3550C5F}"/>
    <w:embedItalic r:id="rIdFont5" w:fontKey="{5BD560F6-5088-459C-A5EF-B1BB1A6A0B16}"/>
    <w:embedBoldItalic r:id="rIdFont6" w:fontKey="{D49B3E02-DCD4-4790-A96A-72D43127F3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INV-ENMS-C4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C4 · Legal &amp; Obligations Register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 · Legal &amp; Obligations Register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2026-07-29T04:16:48.494Z</dcterms:created>
  <dcterms:modified xsi:type="dcterms:W3CDTF">2026-07-29T04:16:48.494Z</dcterms:modified>
</cp:coreProperties>
</file>

<file path=docProps/custom.xml><?xml version="1.0" encoding="utf-8"?>
<Properties xmlns="http://schemas.openxmlformats.org/officeDocument/2006/custom-properties" xmlns:vt="http://schemas.openxmlformats.org/officeDocument/2006/docPropsVTypes"/>
</file>