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4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6"/>
        <w:gridCol w:w="1700"/>
      </w:tblGrid>
      <w:tr>
        <w:trPr>
          <w:cantSplit/>
          <w:trHeight w:val="80" w:hRule="exact"/>
        </w:trPr>
        <w:tc>
          <w:tcPr>
            <w:tcW w:type="dxa" w:w="8046"/>
            <w:tcBorders>
              <w:top w:val="none"/>
              <w:left w:val="none"/>
              <w:bottom w:val="none"/>
              <w:right w:val="none"/>
            </w:tcBorders>
            <w:shd w:fill="38B0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line="40" w:lineRule="exact"/>
            </w:pPr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1700"/>
            <w:tcBorders>
              <w:top w:val="none"/>
              <w:left w:val="none"/>
              <w:bottom w:val="none"/>
              <w:right w:val="none"/>
            </w:tcBorders>
            <w:shd w:fill="F8904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line="40" w:lineRule="exact"/>
            </w:pPr>
            <w:r>
              <w:rPr>
                <w:sz w:val="2"/>
                <w:szCs w:val="2"/>
              </w:rPr>
              <w:t xml:space="preserve"/>
            </w:r>
          </w:p>
        </w:tc>
      </w:tr>
    </w:tbl>
    <w:p>
      <w:pPr>
        <w:spacing w:after="320"/>
      </w:pPr>
      <w:r>
        <w:rPr>
          <w:sz w:val="2"/>
          <w:szCs w:val="2"/>
        </w:rPr>
        <w:t xml:space="preserve"/>
      </w:r>
    </w:p>
    <w:p>
      <w:pPr>
        <w:spacing w:after="420"/>
      </w:pPr>
      <w:r>
        <w:drawing>
          <wp:inline distT="0" distB="0" distL="0" distR="0">
            <wp:extent cx="1905000" cy="485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700"/>
      </w:pPr>
      <w:r>
        <w:rPr>
          <w:rFonts w:ascii="Poppins" w:cs="Poppins" w:eastAsia="Poppins" w:hAnsi="Poppins"/>
          <w:b/>
          <w:bCs/>
          <w:color w:val="F89048"/>
          <w:spacing w:val="20"/>
          <w:sz w:val="20"/>
          <w:szCs w:val="20"/>
        </w:rPr>
        <w:t xml:space="preserve">EECA 2024 EnMS STARTER PACK</w:t>
      </w:r>
    </w:p>
    <w:p>
      <w:pPr>
        <w:spacing w:after="100"/>
      </w:pPr>
      <w:r>
        <w:rPr>
          <w:rFonts w:ascii="Poppins" w:cs="Poppins" w:eastAsia="Poppins" w:hAnsi="Poppins"/>
          <w:b/>
          <w:bCs/>
          <w:color w:val="6B7280"/>
          <w:sz w:val="20"/>
          <w:szCs w:val="20"/>
        </w:rPr>
        <w:t xml:space="preserve">C3 · GOVERNANCE KIT</w:t>
      </w:r>
    </w:p>
    <w:p>
      <w:pPr>
        <w:spacing w:after="160"/>
      </w:pPr>
      <w:r>
        <w:rPr>
          <w:rFonts w:ascii="Poppins" w:cs="Poppins" w:eastAsia="Poppins" w:hAnsi="Poppins"/>
          <w:b/>
          <w:bCs/>
          <w:color w:val="111827"/>
          <w:sz w:val="52"/>
          <w:szCs w:val="52"/>
        </w:rPr>
        <w:t xml:space="preserve">Committee &amp; Governance Kit</w:t>
      </w:r>
    </w:p>
    <w:p>
      <w:pPr>
        <w:pBdr>
          <w:top w:val="single" w:color="38B0F8" w:sz="18" w:space="8"/>
        </w:pBdr>
        <w:spacing w:after="200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Management representative appointment · Committee terms of reference · meeting and management review templates</w:t>
      </w:r>
    </w:p>
    <w:p>
      <w:pPr>
        <w:spacing w:after="360" w:line="32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GP/ST/No.46/2024 builds the EnMS on named governance: a management representative appointed from top management, an Energy Management Committee that meets at least four times a year, and an annual management review whose minutes top management endorses. This kit contains the appointment letter, terms of reference, and minute templates to stand that structure up in a week.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2100"/>
        <w:gridCol w:w="900"/>
        <w:gridCol w:w="1750"/>
        <w:gridCol w:w="2300"/>
        <w:gridCol w:w="2696"/>
      </w:tblGrid>
      <w:tr>
        <w:trPr>
          <w:cantSplit/>
        </w:trPr>
        <w:tc>
          <w:tcPr>
            <w:tcW w:type="dxa" w:w="21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DOCUMENT NO.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INV-ENMS-C3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REV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1.0</w:t>
            </w:r>
          </w:p>
        </w:tc>
        <w:tc>
          <w:tcPr>
            <w:tcW w:type="dxa" w:w="175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ISSUE DATE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29 July 2026</w:t>
            </w:r>
          </w:p>
        </w:tc>
        <w:tc>
          <w:tcPr>
            <w:tcW w:type="dxa" w:w="23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PREPARED BY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Innovast Sdn Bhd</w:t>
            </w:r>
          </w:p>
        </w:tc>
        <w:tc>
          <w:tcPr>
            <w:tcW w:type="dxa" w:w="269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APPROVED BY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Anslem Lim, CEO</w:t>
            </w:r>
          </w:p>
        </w:tc>
      </w:tr>
    </w:tbl>
    <w:p>
      <w:pPr>
        <w:spacing w:after="260" w:before="80"/>
        <w:jc w:val="both"/>
      </w:pPr>
      <w:r>
        <w:rPr>
          <w:rFonts w:ascii="Inter" w:cs="Inter" w:eastAsia="Inter" w:hAnsi="Inter"/>
          <w:i/>
          <w:iCs/>
          <w:color w:val="6B7280"/>
          <w:sz w:val="16"/>
          <w:szCs w:val="16"/>
        </w:rPr>
        <w:t xml:space="preserve">Rev 1.0 · issued 29 July 2026 · regulatory sources last verified 18 July 2026.</w:t>
      </w:r>
    </w:p>
    <w:tbl>
      <w:tblPr>
        <w:tblW w:type="dxa" w:w="9746"/>
        <w:tblBorders>
          <w:top w:val="single" w:color="E5E7EB" w:sz="4"/>
          <w:left w:val="single" w:color="F89048" w:sz="24"/>
          <w:bottom w:val="single" w:color="E5E7EB" w:sz="4"/>
          <w:right w:val="single" w:color="E5E7EB" w:sz="4"/>
          <w:insideH w:val="none"/>
          <w:insideV w:val="none"/>
        </w:tblBorders>
      </w:tblPr>
      <w:tblGrid>
        <w:gridCol w:w="9746"/>
      </w:tblGrid>
      <w:tr>
        <w:trPr>
          <w:cantSplit/>
        </w:trPr>
        <w:tc>
          <w:tcPr>
            <w:tcW w:type="dxa" w:w="9746"/>
            <w:shd w:fill="F9FAFB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line="260"/>
              <w:jc w:val="both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DRAFT FOR ADAPTATION</w:t>
            </w:r>
            <w:r>
              <w:rPr>
                <w:rFonts w:ascii="Inter" w:cs="Inter" w:eastAsia="Inter" w:hAnsi="Inter"/>
                <w:color w:val="4B5563"/>
                <w:sz w:val="18"/>
                <w:szCs w:val="18"/>
              </w:rPr>
              <w:t xml:space="preserve"> — this template is not regulatory advice. Prepared with reference to GP/ST/No.46/2024 (Guidelines on Energy Management System), the Energy Efficiency and Conservation Act 2024 [Act 861] and the Energy Efficiency and Conservation Regulations 2024 [P.U.(A) 466/2024]; sources last verified 18 July 2026. Adapt every field to your organisation before use. Only Suruhanjaya Tenaga can determine compliance with the Act.</w:t>
            </w:r>
          </w:p>
        </w:tc>
      </w:tr>
    </w:tbl>
    <w:p>
      <w:r>
        <w:br w:type="page"/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1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The governance structure GP46 requires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929"/>
        <w:gridCol w:w="5471"/>
        <w:gridCol w:w="2346"/>
      </w:tblGrid>
      <w:tr>
        <w:trPr>
          <w:cantSplit/>
          <w:tblHeader/>
        </w:trPr>
        <w:tc>
          <w:tcPr>
            <w:tcW w:type="dxa" w:w="1929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Role / body</w:t>
            </w:r>
          </w:p>
        </w:tc>
        <w:tc>
          <w:tcPr>
            <w:tcW w:type="dxa" w:w="5471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Requirement</w:t>
            </w:r>
          </w:p>
        </w:tc>
        <w:tc>
          <w:tcPr>
            <w:tcW w:type="dxa" w:w="234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Source</w:t>
            </w:r>
          </w:p>
        </w:tc>
      </w:tr>
      <w:tr>
        <w:trPr>
          <w:cantSplit/>
        </w:trPr>
        <w:tc>
          <w:tcPr>
            <w:tcW w:type="dxa" w:w="1929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Top management</w:t>
            </w:r>
          </w:p>
        </w:tc>
        <w:tc>
          <w:tcPr>
            <w:tcW w:type="dxa" w:w="5471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Sets strategic direction; reviews and endorses the EnMS boundary, energy policy, objectives, targets and EEI; allocates human and financial resources; endorses M&amp;V; conducts management review</w:t>
            </w:r>
          </w:p>
        </w:tc>
        <w:tc>
          <w:tcPr>
            <w:tcW w:type="dxa" w:w="23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GP46 para. 4.2(a)</w:t>
            </w:r>
          </w:p>
        </w:tc>
      </w:tr>
      <w:tr>
        <w:trPr>
          <w:cantSplit/>
        </w:trPr>
        <w:tc>
          <w:tcPr>
            <w:tcW w:type="dxa" w:w="1929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Management representative</w:t>
            </w:r>
          </w:p>
        </w:tc>
        <w:tc>
          <w:tcPr>
            <w:tcW w:type="dxa" w:w="5471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Appointed from among top management or the CEO; oversees EnMS implementation; establishes and leads the Committee; reports progress and results to top management regularly</w:t>
            </w:r>
          </w:p>
        </w:tc>
        <w:tc>
          <w:tcPr>
            <w:tcW w:type="dxa" w:w="23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GP46 para. 4.2(b)</w:t>
            </w:r>
          </w:p>
        </w:tc>
      </w:tr>
      <w:tr>
        <w:trPr>
          <w:cantSplit/>
        </w:trPr>
        <w:tc>
          <w:tcPr>
            <w:tcW w:type="dxa" w:w="1929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Energy Management Committee</w:t>
            </w:r>
          </w:p>
        </w:tc>
        <w:tc>
          <w:tcPr>
            <w:tcW w:type="dxa" w:w="5471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Multi-department working team; develops energy planning and implements the action plan; meets not less than 4 times a year</w:t>
            </w:r>
          </w:p>
        </w:tc>
        <w:tc>
          <w:tcPr>
            <w:tcW w:type="dxa" w:w="23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GP46 para. 4.3(a)–(b)</w:t>
            </w:r>
          </w:p>
        </w:tc>
      </w:tr>
      <w:tr>
        <w:trPr>
          <w:cantSplit/>
        </w:trPr>
        <w:tc>
          <w:tcPr>
            <w:tcW w:type="dxa" w:w="1929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Registered energy manager (REM)</w:t>
            </w:r>
          </w:p>
        </w:tc>
        <w:tc>
          <w:tcPr>
            <w:tcW w:type="dxa" w:w="5471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Assists the Committee and management representative: objectives and targets, EEI, data collection plan, action plan, opportunity identification, M&amp;V; arranges and minutes the meetings</w:t>
            </w:r>
          </w:p>
        </w:tc>
        <w:tc>
          <w:tcPr>
            <w:tcW w:type="dxa" w:w="23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GP46 para. 4.3(c); GP47 para. 3</w:t>
            </w:r>
          </w:p>
        </w:tc>
      </w:tr>
      <w:tr>
        <w:trPr>
          <w:cantSplit/>
        </w:trPr>
        <w:tc>
          <w:tcPr>
            <w:tcW w:type="dxa" w:w="1929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Departmental members</w:t>
            </w:r>
          </w:p>
        </w:tc>
        <w:tc>
          <w:tcPr>
            <w:tcW w:type="dxa" w:w="5471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EHS, utility/facility/engineering O&amp;M, production (industry), procurement and finance, HR, administration — each with defined data and support roles</w:t>
            </w:r>
          </w:p>
        </w:tc>
        <w:tc>
          <w:tcPr>
            <w:tcW w:type="dxa" w:w="23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GP46 para. 4.3(a), (c)(ii)</w:t>
            </w:r>
          </w:p>
        </w:tc>
      </w:tr>
    </w:tbl>
    <w:p>
      <w:pPr>
        <w:keepNext/>
        <w:keepLines/>
        <w:spacing w:after="120" w:before="260"/>
      </w:pPr>
      <w:r>
        <w:rPr>
          <w:rFonts w:ascii="Poppins" w:cs="Poppins" w:eastAsia="Poppins" w:hAnsi="Poppins"/>
          <w:b/>
          <w:bCs/>
          <w:color w:val="1273AD"/>
          <w:sz w:val="24"/>
          <w:szCs w:val="24"/>
        </w:rPr>
        <w:t xml:space="preserve">Reference structures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Adapt the composition to your organisation — GP46 gives examples for the industry and building sectors: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4873"/>
        <w:gridCol w:w="4873"/>
      </w:tblGrid>
      <w:tr>
        <w:trPr>
          <w:cantSplit/>
          <w:tblHeader/>
        </w:trPr>
        <w:tc>
          <w:tcPr>
            <w:tcW w:type="dxa" w:w="4873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Industry sector example</w:t>
            </w:r>
          </w:p>
        </w:tc>
        <w:tc>
          <w:tcPr>
            <w:tcW w:type="dxa" w:w="4873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Building sector example</w:t>
            </w:r>
          </w:p>
        </w:tc>
      </w:tr>
      <w:tr>
        <w:trPr>
          <w:cantSplit/>
        </w:trPr>
        <w:tc>
          <w:tcPr>
            <w:tcW w:type="dxa" w:w="487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Management Representative (Chairperson)</w:t>
            </w:r>
          </w:p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→ REM / Energy Manager</w:t>
            </w:r>
          </w:p>
          <w:p>
            <w:pPr>
              <w:spacing w:after="2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→ Company Accountant (financial perspective)</w:t>
            </w:r>
          </w:p>
          <w:p>
            <w:pPr>
              <w:spacing w:after="2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→ Human Resource Officer (HR perspective)</w:t>
            </w:r>
          </w:p>
          <w:p>
            <w:pPr>
              <w:spacing w:after="2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→ Production Engineer (production support)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→ Facilities Engineer (operation support)</w:t>
            </w:r>
          </w:p>
        </w:tc>
        <w:tc>
          <w:tcPr>
            <w:tcW w:type="dxa" w:w="487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Management Representative (Chairperson)</w:t>
            </w:r>
          </w:p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→ REM / Energy Manager</w:t>
            </w:r>
          </w:p>
          <w:p>
            <w:pPr>
              <w:spacing w:after="2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→ Building / FM Manager (operations)</w:t>
            </w:r>
          </w:p>
          <w:p>
            <w:pPr>
              <w:spacing w:after="2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→ Chargeman / M&amp;E Supervisor (plant data)</w:t>
            </w:r>
          </w:p>
          <w:p>
            <w:pPr>
              <w:spacing w:after="2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→ Finance Executive (budgets, tariffs)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→ Admin / Tenant Liaison (occupancy, floor data)</w:t>
            </w:r>
          </w:p>
        </w:tc>
      </w:tr>
    </w:tbl>
    <w:p>
      <w:pPr>
        <w:spacing w:after="160"/>
        <w:jc w:val="left"/>
      </w:pPr>
      <w:r>
        <w:rPr>
          <w:rFonts w:ascii="Inter" w:cs="Inter" w:eastAsia="Inter" w:hAnsi="Inter"/>
          <w:i/>
          <w:iCs/>
          <w:color w:val="6B7280"/>
          <w:sz w:val="18"/>
          <w:szCs w:val="18"/>
        </w:rPr>
        <w:t xml:space="preserve">Composition per GP46 para. 4.3(a) and the Figure 2/Figure 3 examples, restated for Malaysian industrial and commercial organisations.</w:t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2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Template — Management representative appointment letter</w:t>
      </w:r>
    </w:p>
    <w:tbl>
      <w:tblPr>
        <w:tblW w:type="dxa" w:w="9746"/>
        <w:tblBorders>
          <w:top w:val="single" w:color="E5E7EB" w:sz="4"/>
          <w:left w:val="single" w:color="38B0F8" w:sz="24"/>
          <w:bottom w:val="single" w:color="E5E7EB" w:sz="4"/>
          <w:right w:val="single" w:color="E5E7EB" w:sz="4"/>
          <w:insideH w:val="none"/>
          <w:insideV w:val="none"/>
        </w:tblBorders>
      </w:tblPr>
      <w:tblGrid>
        <w:gridCol w:w="9746"/>
      </w:tblGrid>
      <w:tr>
        <w:trPr>
          <w:cantSplit/>
        </w:trPr>
        <w:tc>
          <w:tcPr>
            <w:tcW w:type="dxa" w:w="9746"/>
            <w:shd w:fill="F9FAFB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20"/>
              <w:jc w:val="both"/>
            </w:pPr>
            <w:r>
              <w:rPr>
                <w:rFonts w:ascii="Inter" w:cs="Inter" w:eastAsia="Inter" w:hAnsi="Inter"/>
                <w:i/>
                <w:iCs/>
                <w:color w:val="6B7280"/>
                <w:sz w:val="18"/>
                <w:szCs w:val="18"/>
              </w:rPr>
              <w:t xml:space="preserve">[Company letterhead]</w:t>
            </w:r>
          </w:p>
          <w:p>
            <w:pPr>
              <w:spacing w:after="12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9"/>
                <w:szCs w:val="19"/>
              </w:rPr>
              <w:t xml:space="preserve">APPOINTMENT AS MANAGEMENT REPRESENTATIVE — ENERGY MANAGEMENT SYSTEM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Dear [name],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Pursuant to the requirements of the Guidelines on Energy Management System [GP/ST/No.46/2024] issued under the Energy Efficiency and Conservation Act 2024 [Act 861], the Board / [top management body] of [Company name] hereby appoints you as the Management Representative for the company’s energy management system, with effect from [date].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In this capacity you are authorised and required to: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90" w:line="290"/>
              <w:jc w:val="both"/>
            </w:pP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establish, chair and lead the Energy Management Committee;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90" w:line="290"/>
              <w:jc w:val="both"/>
            </w:pP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oversee the development and implementation of the energy management system and make decisions regarding energy management;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90" w:line="290"/>
              <w:jc w:val="both"/>
            </w:pP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jointly plan, implement and continually improve the EnMS with the Committee and the registered energy manager; and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90" w:line="290"/>
              <w:jc w:val="both"/>
            </w:pP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report the progress and results of the EnMS to top management regularly, and present the outcomes of the annual review.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This appointment carries the resources and authority set out in the company’s energy management policy.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 </w:t>
            </w:r>
          </w:p>
          <w:tbl>
            <w:tblPr>
              <w:tblW w:type="dxa" w:w="9746"/>
              <w:tblBorders>
                <w:top w:val="single" w:color="E5E7EB" w:sz="4"/>
                <w:left w:val="single" w:color="E5E7EB" w:sz="4"/>
                <w:bottom w:val="single" w:color="E5E7EB" w:sz="4"/>
                <w:right w:val="single" w:color="E5E7EB" w:sz="4"/>
                <w:insideH w:val="single" w:color="E5E7EB" w:sz="4"/>
                <w:insideV w:val="single" w:color="E5E7EB" w:sz="4"/>
              </w:tblBorders>
            </w:tblPr>
            <w:tblGrid>
              <w:gridCol w:w="2500"/>
              <w:gridCol w:w="2540"/>
              <w:gridCol w:w="2500"/>
              <w:gridCol w:w="2206"/>
            </w:tblGrid>
            <w:tr>
              <w:trPr>
                <w:cantSplit/>
              </w:trPr>
              <w:tc>
                <w:tcPr>
                  <w:tcW w:type="dxa" w:w="250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>Signed (top management):</w:t>
                  </w:r>
                </w:p>
              </w:tc>
              <w:tc>
                <w:tcPr>
                  <w:tcW w:type="dxa" w:w="254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/>
                  </w:r>
                </w:p>
              </w:tc>
              <w:tc>
                <w:tcPr>
                  <w:tcW w:type="dxa" w:w="250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>Acknowledged (appointee):</w:t>
                  </w:r>
                </w:p>
              </w:tc>
              <w:tc>
                <w:tcPr>
                  <w:tcW w:type="dxa" w:w="2206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/>
                  </w:r>
                </w:p>
              </w:tc>
            </w:tr>
            <w:tr>
              <w:trPr>
                <w:cantSplit/>
              </w:trPr>
              <w:tc>
                <w:tcPr>
                  <w:tcW w:type="dxa" w:w="250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>Name / designation:</w:t>
                  </w:r>
                </w:p>
              </w:tc>
              <w:tc>
                <w:tcPr>
                  <w:tcW w:type="dxa" w:w="254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/>
                  </w:r>
                </w:p>
              </w:tc>
              <w:tc>
                <w:tcPr>
                  <w:tcW w:type="dxa" w:w="250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>Name / designation:</w:t>
                  </w:r>
                </w:p>
              </w:tc>
              <w:tc>
                <w:tcPr>
                  <w:tcW w:type="dxa" w:w="2206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/>
                  </w:r>
                </w:p>
              </w:tc>
            </w:tr>
            <w:tr>
              <w:trPr>
                <w:cantSplit/>
              </w:trPr>
              <w:tc>
                <w:tcPr>
                  <w:tcW w:type="dxa" w:w="250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>Date:</w:t>
                  </w:r>
                </w:p>
              </w:tc>
              <w:tc>
                <w:tcPr>
                  <w:tcW w:type="dxa" w:w="254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/>
                  </w:r>
                </w:p>
              </w:tc>
              <w:tc>
                <w:tcPr>
                  <w:tcW w:type="dxa" w:w="2500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>Date:</w:t>
                  </w:r>
                </w:p>
              </w:tc>
              <w:tc>
                <w:tcPr>
                  <w:tcW w:type="dxa" w:w="2206"/>
                  <w:tcMar>
                    <w:top w:type="dxa" w:w="70"/>
                    <w:left w:type="dxa" w:w="100"/>
                    <w:bottom w:type="dxa" w:w="70"/>
                    <w:right w:type="dxa" w:w="100"/>
                  </w:tcMar>
                  <w:vAlign w:val="top"/>
                </w:tcPr>
                <w:p>
                  <w:pPr>
                    <w:spacing w:after="0" w:line="260"/>
                  </w:pPr>
                  <w:r>
                    <w:rPr>
                      <w:rFonts w:ascii="Inter" w:cs="Inter" w:eastAsia="Inter" w:hAnsi="Inter"/>
                      <w:color w:val="1F2937"/>
                      <w:sz w:val="17"/>
                      <w:szCs w:val="17"/>
                    </w:rPr>
                    <w:t xml:space="preserve"/>
                  </w:r>
                </w:p>
              </w:tc>
            </w:tr>
          </w:tbl>
          <w:p/>
        </w:tc>
      </w:tr>
    </w:tbl>
    <w:p>
      <w:r>
        <w:br w:type="page"/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3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Template — Committee terms of reference</w:t>
      </w:r>
    </w:p>
    <w:tbl>
      <w:tblPr>
        <w:tblW w:type="dxa" w:w="9746"/>
        <w:tblBorders>
          <w:top w:val="single" w:color="E5E7EB" w:sz="4"/>
          <w:left w:val="single" w:color="38B0F8" w:sz="24"/>
          <w:bottom w:val="single" w:color="E5E7EB" w:sz="4"/>
          <w:right w:val="single" w:color="E5E7EB" w:sz="4"/>
          <w:insideH w:val="none"/>
          <w:insideV w:val="none"/>
        </w:tblBorders>
      </w:tblPr>
      <w:tblGrid>
        <w:gridCol w:w="9746"/>
      </w:tblGrid>
      <w:tr>
        <w:trPr>
          <w:cantSplit/>
        </w:trPr>
        <w:tc>
          <w:tcPr>
            <w:tcW w:type="dxa" w:w="9746"/>
            <w:shd w:fill="F9FAFB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12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9"/>
                <w:szCs w:val="19"/>
              </w:rPr>
              <w:t xml:space="preserve">ENERGY MANAGEMENT COMMITTEE — TERMS OF REFERENCE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9"/>
                <w:szCs w:val="19"/>
              </w:rPr>
              <w:t xml:space="preserve">1. Purpose. </w:t>
            </w: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The Committee is the multi-disciplinary working team that develops the energy planning of [Company name] and implements the energy management action plan agreed by top management, in accordance with GP/ST/No.46/2024.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9"/>
                <w:szCs w:val="19"/>
              </w:rPr>
              <w:t xml:space="preserve">2. Composition. </w:t>
            </w: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Chairperson: the Management Representative. Secretary: the registered energy manager (REM). Members: representatives of [EHS / utility, facility management, engineering O&amp;M / production / procurement and finance / human resource / administration — adapt]. Members are appointed by name in Annex 1.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9"/>
                <w:szCs w:val="19"/>
              </w:rPr>
              <w:t xml:space="preserve">3. Meetings. </w:t>
            </w: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The Committee meets not less than four times a year. The REM arranges the meetings and records the minutes; the Management Representative endorses them. Quorum: [n] members including the Chairperson or their delegate.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9"/>
                <w:szCs w:val="19"/>
              </w:rPr>
              <w:t xml:space="preserve">4. Duties. </w:t>
            </w: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The Committee shall: prepare and develop the energy management policy; conduct the EnMS self-evaluation; organise the internal EnMS performance review; prepare and implement the action plan; conduct awareness, campaigns and training; coordinate, check and approve working procedures, manuals and tools; monitor EnMS implementation and performance; ensure measurement and verification for reporting energy performance; and review and revise energy targets and the action plan for continual improvement.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9"/>
                <w:szCs w:val="19"/>
              </w:rPr>
              <w:t xml:space="preserve">5. Reporting. </w:t>
            </w: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The Management Representative reports the Committee’s progress and results to top management regularly, and at least annually through the management review.</w:t>
            </w:r>
          </w:p>
          <w:p>
            <w:pPr>
              <w:spacing w:after="140" w:line="300"/>
              <w:jc w:val="both"/>
            </w:pPr>
            <w:r>
              <w:rPr>
                <w:rFonts w:ascii="Inter" w:cs="Inter" w:eastAsia="Inter" w:hAnsi="Inter"/>
                <w:b/>
                <w:bCs/>
                <w:color w:val="1F2937"/>
                <w:sz w:val="19"/>
                <w:szCs w:val="19"/>
              </w:rPr>
              <w:t xml:space="preserve">6. Review. </w:t>
            </w: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These terms of reference are reviewed annually at the management review.</w:t>
            </w:r>
          </w:p>
        </w:tc>
      </w:tr>
    </w:tbl>
    <w:p>
      <w:pPr>
        <w:spacing w:after="160"/>
        <w:jc w:val="left"/>
      </w:pPr>
      <w:r>
        <w:rPr>
          <w:rFonts w:ascii="Inter" w:cs="Inter" w:eastAsia="Inter" w:hAnsi="Inter"/>
          <w:i/>
          <w:iCs/>
          <w:color w:val="6B7280"/>
          <w:sz w:val="18"/>
          <w:szCs w:val="18"/>
        </w:rPr>
        <w:t xml:space="preserve">Duties restate GP46 para. 4.3(b)(i)–(ix). Keep all nine in substance.</w:t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4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Template — Committee meeting minutes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2150"/>
        <w:gridCol w:w="2723"/>
        <w:gridCol w:w="2150"/>
        <w:gridCol w:w="2723"/>
      </w:tblGrid>
      <w:tr>
        <w:trPr>
          <w:cantSplit/>
        </w:trPr>
        <w:tc>
          <w:tcPr>
            <w:tcW w:type="dxa" w:w="21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Meeting no. / of year:</w:t>
            </w:r>
          </w:p>
        </w:tc>
        <w:tc>
          <w:tcPr>
            <w:tcW w:type="dxa" w:w="27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1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Date / time / venue:</w:t>
            </w:r>
          </w:p>
        </w:tc>
        <w:tc>
          <w:tcPr>
            <w:tcW w:type="dxa" w:w="27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21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Chairperson:</w:t>
            </w:r>
          </w:p>
        </w:tc>
        <w:tc>
          <w:tcPr>
            <w:tcW w:type="dxa" w:w="27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1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Recorded by (REM):</w:t>
            </w:r>
          </w:p>
        </w:tc>
        <w:tc>
          <w:tcPr>
            <w:tcW w:type="dxa" w:w="27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21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Present:</w:t>
            </w:r>
          </w:p>
        </w:tc>
        <w:tc>
          <w:tcPr>
            <w:tcW w:type="dxa" w:w="27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1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Apologies:</w:t>
            </w:r>
          </w:p>
        </w:tc>
        <w:tc>
          <w:tcPr>
            <w:tcW w:type="dxa" w:w="27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</w:tbl>
    <w:p>
      <w:pPr>
        <w:spacing w:after="60" w:line="60" w:lineRule="exact"/>
      </w:pPr>
      <w:r>
        <w:rPr>
          <w:sz w:val="2"/>
          <w:szCs w:val="2"/>
        </w:rPr>
        <w:t xml:space="preserve"/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500"/>
        <w:gridCol w:w="3400"/>
        <w:gridCol w:w="3120"/>
        <w:gridCol w:w="2726"/>
      </w:tblGrid>
      <w:tr>
        <w:trPr>
          <w:cantSplit/>
          <w:tblHeader/>
        </w:trPr>
        <w:tc>
          <w:tcPr>
            <w:tcW w:type="dxa" w:w="5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#</w:t>
            </w:r>
          </w:p>
        </w:tc>
        <w:tc>
          <w:tcPr>
            <w:tcW w:type="dxa" w:w="34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Agenda item</w:t>
            </w:r>
          </w:p>
        </w:tc>
        <w:tc>
          <w:tcPr>
            <w:tcW w:type="dxa" w:w="312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Discussion / decision</w:t>
            </w:r>
          </w:p>
        </w:tc>
        <w:tc>
          <w:tcPr>
            <w:tcW w:type="dxa" w:w="272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Action — owner — due</w:t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1</w:t>
            </w:r>
          </w:p>
        </w:tc>
        <w:tc>
          <w:tcPr>
            <w:tcW w:type="dxa" w:w="34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Review of previous minutes and actions</w:t>
            </w:r>
          </w:p>
        </w:tc>
        <w:tc>
          <w:tcPr>
            <w:tcW w:type="dxa" w:w="31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72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2</w:t>
            </w:r>
          </w:p>
        </w:tc>
        <w:tc>
          <w:tcPr>
            <w:tcW w:type="dxa" w:w="34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Energy consumption and EnPI/EEI vs baseline and target (REM report)</w:t>
            </w:r>
          </w:p>
        </w:tc>
        <w:tc>
          <w:tcPr>
            <w:tcW w:type="dxa" w:w="31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72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3</w:t>
            </w:r>
          </w:p>
        </w:tc>
        <w:tc>
          <w:tcPr>
            <w:tcW w:type="dxa" w:w="34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Action plan / ESM progress, M&amp;V results</w:t>
            </w:r>
          </w:p>
        </w:tc>
        <w:tc>
          <w:tcPr>
            <w:tcW w:type="dxa" w:w="31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72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4</w:t>
            </w:r>
          </w:p>
        </w:tc>
        <w:tc>
          <w:tcPr>
            <w:tcW w:type="dxa" w:w="34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Self-evaluation matrix / internal review findings, corrective actions</w:t>
            </w:r>
          </w:p>
        </w:tc>
        <w:tc>
          <w:tcPr>
            <w:tcW w:type="dxa" w:w="31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72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5</w:t>
            </w:r>
          </w:p>
        </w:tc>
        <w:tc>
          <w:tcPr>
            <w:tcW w:type="dxa" w:w="34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Awareness, training and communication activities</w:t>
            </w:r>
          </w:p>
        </w:tc>
        <w:tc>
          <w:tcPr>
            <w:tcW w:type="dxa" w:w="31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72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6</w:t>
            </w:r>
          </w:p>
        </w:tc>
        <w:tc>
          <w:tcPr>
            <w:tcW w:type="dxa" w:w="34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Legal and compliance updates (obligations register review)</w:t>
            </w:r>
          </w:p>
        </w:tc>
        <w:tc>
          <w:tcPr>
            <w:tcW w:type="dxa" w:w="31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72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7</w:t>
            </w:r>
          </w:p>
        </w:tc>
        <w:tc>
          <w:tcPr>
            <w:tcW w:type="dxa" w:w="34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Other matters / next meeting</w:t>
            </w:r>
          </w:p>
        </w:tc>
        <w:tc>
          <w:tcPr>
            <w:tcW w:type="dxa" w:w="31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72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</w:tbl>
    <w:p>
      <w:pPr>
        <w:spacing w:before="100"/>
        <w:jc w:val="both"/>
      </w:pPr>
      <w:r>
        <w:rPr>
          <w:rFonts w:ascii="Inter" w:cs="Inter" w:eastAsia="Inter" w:hAnsi="Inter"/>
          <w:color w:val="1F2937"/>
          <w:sz w:val="18"/>
          <w:szCs w:val="18"/>
        </w:rPr>
        <w:t xml:space="preserve">Endorsement — Management Representative:   signature ____________________   date ____________</w:t>
      </w:r>
    </w:p>
    <w:p>
      <w:pPr>
        <w:spacing w:after="160"/>
        <w:jc w:val="left"/>
      </w:pPr>
      <w:r>
        <w:rPr>
          <w:rFonts w:ascii="Inter" w:cs="Inter" w:eastAsia="Inter" w:hAnsi="Inter"/>
          <w:i/>
          <w:iCs/>
          <w:color w:val="6B7280"/>
          <w:sz w:val="18"/>
          <w:szCs w:val="18"/>
        </w:rPr>
        <w:t xml:space="preserve">A standing agenda in this shape discharges the Committee duties of GP46 para. 4.3(b) and gives the EE&amp;C report its EnMS evidence. Minutes endorsement per GP47 para. 3(c)(iii).</w:t>
      </w:r>
    </w:p>
    <w:p>
      <w:r>
        <w:br w:type="page"/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5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Template — Annual management review minutes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GP46 para. 8.3 and GP47 para. 3(c)(iv)–(v): the management review is held with top management at least once a year; the Management Representative presents the outcomes; the minutes are endorsed by top management.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2300"/>
        <w:gridCol w:w="2573"/>
        <w:gridCol w:w="2000"/>
        <w:gridCol w:w="2873"/>
      </w:tblGrid>
      <w:tr>
        <w:trPr>
          <w:cantSplit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Review date / venue:</w:t>
            </w:r>
          </w:p>
        </w:tc>
        <w:tc>
          <w:tcPr>
            <w:tcW w:type="dxa" w:w="257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Period covered:</w:t>
            </w:r>
          </w:p>
        </w:tc>
        <w:tc>
          <w:tcPr>
            <w:tcW w:type="dxa" w:w="287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Top management present:</w:t>
            </w:r>
          </w:p>
        </w:tc>
        <w:tc>
          <w:tcPr>
            <w:tcW w:type="dxa" w:w="257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Presented by:</w:t>
            </w:r>
          </w:p>
        </w:tc>
        <w:tc>
          <w:tcPr>
            <w:tcW w:type="dxa" w:w="287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</w:tbl>
    <w:p>
      <w:pPr>
        <w:spacing w:after="60" w:line="60" w:lineRule="exact"/>
      </w:pPr>
      <w:r>
        <w:rPr>
          <w:sz w:val="2"/>
          <w:szCs w:val="2"/>
        </w:rPr>
        <w:t xml:space="preserve"/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483"/>
        <w:gridCol w:w="5066"/>
        <w:gridCol w:w="4197"/>
      </w:tblGrid>
      <w:tr>
        <w:trPr>
          <w:cantSplit/>
          <w:tblHeader/>
        </w:trPr>
        <w:tc>
          <w:tcPr>
            <w:tcW w:type="dxa" w:w="483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#</w:t>
            </w:r>
          </w:p>
        </w:tc>
        <w:tc>
          <w:tcPr>
            <w:tcW w:type="dxa" w:w="506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Input presented</w:t>
            </w:r>
          </w:p>
        </w:tc>
        <w:tc>
          <w:tcPr>
            <w:tcW w:type="dxa" w:w="4197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Summary / finding</w:t>
            </w:r>
          </w:p>
        </w:tc>
      </w:tr>
      <w:tr>
        <w:trPr>
          <w:cantSplit/>
        </w:trPr>
        <w:tc>
          <w:tcPr>
            <w:tcW w:type="dxa" w:w="48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1</w:t>
            </w:r>
          </w:p>
        </w:tc>
        <w:tc>
          <w:tcPr>
            <w:tcW w:type="dxa" w:w="506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EnMS and energy performance data — EnPI/EEI vs baseline, targets and benchmarks</w:t>
            </w:r>
          </w:p>
        </w:tc>
        <w:tc>
          <w:tcPr>
            <w:tcW w:type="dxa" w:w="419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8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2</w:t>
            </w:r>
          </w:p>
        </w:tc>
        <w:tc>
          <w:tcPr>
            <w:tcW w:type="dxa" w:w="506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EnMS assessment results vs previous assessments; internal review findings</w:t>
            </w:r>
          </w:p>
        </w:tc>
        <w:tc>
          <w:tcPr>
            <w:tcW w:type="dxa" w:w="419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8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3</w:t>
            </w:r>
          </w:p>
        </w:tc>
        <w:tc>
          <w:tcPr>
            <w:tcW w:type="dxa" w:w="506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ESM savings verified through M&amp;V</w:t>
            </w:r>
          </w:p>
        </w:tc>
        <w:tc>
          <w:tcPr>
            <w:tcW w:type="dxa" w:w="419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8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4</w:t>
            </w:r>
          </w:p>
        </w:tc>
        <w:tc>
          <w:tcPr>
            <w:tcW w:type="dxa" w:w="506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Staff awareness, knowledge and competency assessment</w:t>
            </w:r>
          </w:p>
        </w:tc>
        <w:tc>
          <w:tcPr>
            <w:tcW w:type="dxa" w:w="419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8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5</w:t>
            </w:r>
          </w:p>
        </w:tc>
        <w:tc>
          <w:tcPr>
            <w:tcW w:type="dxa" w:w="506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Legal-compliance evaluation (obligations register status)</w:t>
            </w:r>
          </w:p>
        </w:tc>
        <w:tc>
          <w:tcPr>
            <w:tcW w:type="dxa" w:w="419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8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6</w:t>
            </w:r>
          </w:p>
        </w:tc>
        <w:tc>
          <w:tcPr>
            <w:tcW w:type="dxa" w:w="506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Resource adequacy; issues escalated by the Committee</w:t>
            </w:r>
          </w:p>
        </w:tc>
        <w:tc>
          <w:tcPr>
            <w:tcW w:type="dxa" w:w="419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</w:tbl>
    <w:p>
      <w:pPr>
        <w:spacing w:after="60" w:line="60" w:lineRule="exact"/>
      </w:pPr>
      <w:r>
        <w:rPr>
          <w:sz w:val="2"/>
          <w:szCs w:val="2"/>
        </w:rPr>
        <w:t xml:space="preserve"/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483"/>
        <w:gridCol w:w="6033"/>
        <w:gridCol w:w="1740"/>
        <w:gridCol w:w="1490"/>
      </w:tblGrid>
      <w:tr>
        <w:trPr>
          <w:cantSplit/>
          <w:tblHeader/>
        </w:trPr>
        <w:tc>
          <w:tcPr>
            <w:tcW w:type="dxa" w:w="483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#</w:t>
            </w:r>
          </w:p>
        </w:tc>
        <w:tc>
          <w:tcPr>
            <w:tcW w:type="dxa" w:w="6033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Decision taken (policy / targets / resources / strategies)</w:t>
            </w:r>
          </w:p>
        </w:tc>
        <w:tc>
          <w:tcPr>
            <w:tcW w:type="dxa" w:w="174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Owner</w:t>
            </w:r>
          </w:p>
        </w:tc>
        <w:tc>
          <w:tcPr>
            <w:tcW w:type="dxa" w:w="149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Due</w:t>
            </w:r>
          </w:p>
        </w:tc>
      </w:tr>
      <w:tr>
        <w:trPr>
          <w:cantSplit/>
        </w:trPr>
        <w:tc>
          <w:tcPr>
            <w:tcW w:type="dxa" w:w="48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1</w:t>
            </w:r>
          </w:p>
        </w:tc>
        <w:tc>
          <w:tcPr>
            <w:tcW w:type="dxa" w:w="603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7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49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8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2</w:t>
            </w:r>
          </w:p>
        </w:tc>
        <w:tc>
          <w:tcPr>
            <w:tcW w:type="dxa" w:w="603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7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49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8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3</w:t>
            </w:r>
          </w:p>
        </w:tc>
        <w:tc>
          <w:tcPr>
            <w:tcW w:type="dxa" w:w="603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7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49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</w:tbl>
    <w:p>
      <w:pPr>
        <w:spacing w:before="100"/>
        <w:jc w:val="both"/>
      </w:pPr>
      <w:r>
        <w:rPr>
          <w:rFonts w:ascii="Inter" w:cs="Inter" w:eastAsia="Inter" w:hAnsi="Inter"/>
          <w:color w:val="1F2937"/>
          <w:sz w:val="18"/>
          <w:szCs w:val="18"/>
        </w:rPr>
        <w:t xml:space="preserve">Endorsement — Top management:   name/designation ________________   signature ________________   date _________</w:t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6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First 30 days — standing this up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860"/>
        <w:gridCol w:w="8886"/>
      </w:tblGrid>
      <w:tr>
        <w:trPr>
          <w:cantSplit/>
          <w:tblHeader/>
        </w:trPr>
        <w:tc>
          <w:tcPr>
            <w:tcW w:type="dxa" w:w="86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Day</w:t>
            </w:r>
          </w:p>
        </w:tc>
        <w:tc>
          <w:tcPr>
            <w:tcW w:type="dxa" w:w="888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Action</w:t>
            </w:r>
          </w:p>
        </w:tc>
      </w:tr>
      <w:tr>
        <w:trPr>
          <w:cantSplit/>
        </w:trPr>
        <w:tc>
          <w:tcPr>
            <w:tcW w:type="dxa" w:w="86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1–5</w:t>
            </w:r>
          </w:p>
        </w:tc>
        <w:tc>
          <w:tcPr>
            <w:tcW w:type="dxa" w:w="888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Top management signs the management representative appointment letter (para. 2); representative nominates Committee members with department heads</w:t>
            </w:r>
          </w:p>
        </w:tc>
      </w:tr>
      <w:tr>
        <w:trPr>
          <w:cantSplit/>
        </w:trPr>
        <w:tc>
          <w:tcPr>
            <w:tcW w:type="dxa" w:w="86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5–10</w:t>
            </w:r>
          </w:p>
        </w:tc>
        <w:tc>
          <w:tcPr>
            <w:tcW w:type="dxa" w:w="888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Adopt the terms of reference (para. 3); REM circulates the first meeting notice</w:t>
            </w:r>
          </w:p>
        </w:tc>
      </w:tr>
      <w:tr>
        <w:trPr>
          <w:cantSplit/>
        </w:trPr>
        <w:tc>
          <w:tcPr>
            <w:tcW w:type="dxa" w:w="86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10–20</w:t>
            </w:r>
          </w:p>
        </w:tc>
        <w:tc>
          <w:tcPr>
            <w:tcW w:type="dxa" w:w="888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First Committee meeting: adopt the draft energy policy (C2); run the first self-evaluation matrix (C10); open the obligations register (C4); set the meeting calendar (≥4/year)</w:t>
            </w:r>
          </w:p>
        </w:tc>
      </w:tr>
      <w:tr>
        <w:trPr>
          <w:cantSplit/>
        </w:trPr>
        <w:tc>
          <w:tcPr>
            <w:tcW w:type="dxa" w:w="86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20–30</w:t>
            </w:r>
          </w:p>
        </w:tc>
        <w:tc>
          <w:tcPr>
            <w:tcW w:type="dxa" w:w="888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Management representative briefs top management on the baseline position and the reg 8 deadline; agree resources and the action plan timeline</w:t>
            </w:r>
          </w:p>
        </w:tc>
      </w:tr>
    </w:tbl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Innovast facilitates first-cycle governance setup — appointment to first endorsed minutes — as part of every EnMS engagement. </w:t>
      </w:r>
      <w:r>
        <w:rPr>
          <w:rFonts w:ascii="Inter" w:cs="Inter" w:eastAsia="Inter" w:hAnsi="Inter"/>
          <w:b/>
          <w:bCs/>
          <w:color w:val="1273AD"/>
          <w:sz w:val="20"/>
          <w:szCs w:val="20"/>
        </w:rPr>
        <w:t xml:space="preserve">anslem@innovast.asia</w:t>
      </w:r>
    </w:p>
    <w:p>
      <w:r>
        <w:br w:type="page"/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</w:pP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The complete Starter Pack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This document is one of thirteen working documents in the EECA 2024 EnMS Starter Pack — together they stand up an energy management system that follows GP/ST/No.46/2024 and the statutory duties of Act 861.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700"/>
        <w:gridCol w:w="3300"/>
        <w:gridCol w:w="5746"/>
      </w:tblGrid>
      <w:tr>
        <w:trPr>
          <w:cantSplit/>
          <w:tblHeader/>
        </w:trPr>
        <w:tc>
          <w:tcPr>
            <w:tcW w:type="dxa" w:w="7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Code</w:t>
            </w:r>
          </w:p>
        </w:tc>
        <w:tc>
          <w:tcPr>
            <w:tcW w:type="dxa" w:w="33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Document</w:t>
            </w:r>
          </w:p>
        </w:tc>
        <w:tc>
          <w:tcPr>
            <w:tcW w:type="dxa" w:w="574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Use it to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C0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Pack Guide &amp; Compliance Clock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Orient the team; diarise the statutory deadlines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EECA EnMS Gap Assessment Checklist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Score your current position (Yes / Partial / No) against every GP46 element and statutory duty; get a readiness band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C2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Energy Management Policy Template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Draft the policy with the four GP46-mandatory commitments built in</w:t>
            </w:r>
          </w:p>
        </w:tc>
      </w:tr>
      <w:tr>
        <w:trPr>
          <w:cantSplit/>
        </w:trPr>
        <w:tc>
          <w:tcPr>
            <w:tcW w:type="dxa" w:w="700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273AD"/>
                <w:sz w:val="18"/>
                <w:szCs w:val="18"/>
              </w:rPr>
              <w:t xml:space="preserve">C3</w:t>
            </w:r>
          </w:p>
        </w:tc>
        <w:tc>
          <w:tcPr>
            <w:tcW w:type="dxa" w:w="3300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Committee &amp; Governance Kit</w:t>
            </w:r>
          </w:p>
        </w:tc>
        <w:tc>
          <w:tcPr>
            <w:tcW w:type="dxa" w:w="5746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Appoint the management representative; constitute the Committee; run and minute the meetings and the annual management review  </w:t>
            </w:r>
            <w:r>
              <w:rPr>
                <w:rFonts w:ascii="Inter" w:cs="Inter" w:eastAsia="Inter" w:hAnsi="Inter"/>
                <w:b/>
                <w:bCs/>
                <w:color w:val="1273AD"/>
                <w:sz w:val="16"/>
                <w:szCs w:val="16"/>
              </w:rPr>
              <w:t xml:space="preserve">(this document)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C4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Legal &amp; Obligations Register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Hold every Act 861 / EECR duty with citation, deadline, penalty, owner and status — the legal-compliance evaluation GP46 para. 8.2(g) expects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C5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REM Appointment Checklist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Choose internal vs external appointment; respect the tiering and the caps; manage the three-year window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C6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EnPI / EEI Worksheet (sector-selectable)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Establish the baseline and indicator — SEC path for industry, BEI path for buildings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C7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Energy Data Collection Plan + 12-Month Consumption Tracker (xlsx)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Plan and record the twelve months of consumption, generation and variable data GP46 requires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C8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Action Plan &amp; ESM Register (docx + xlsx)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Turn audit findings into a prioritised, costed, owned action plan with M&amp;V per ESM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C9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Communication, Awareness &amp; Training Plan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Discharge GP46 para. 7.7–7.9 — communication matrix, motivation strategy, training programme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C10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EnMS Self-Evaluation Matrix (xlsx)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Run the GP46 para. 5.2.3(a) maturity self-evaluation at Committee formation and periodically after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C11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Work Procedure &amp; Log Sheet Starters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Seed the operational controls — chiller plant and lighting examples to adapt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C12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EE&amp;C Report Skeleton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Assemble the annual report content in the GP45 structure before entering it in the Commission’s online system</w:t>
            </w:r>
          </w:p>
        </w:tc>
      </w:tr>
    </w:tbl>
    <w:p>
      <w:pPr>
        <w:spacing w:after="0" w:before="160"/>
        <w:jc w:val="left"/>
      </w:pP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Get the complete pack, free:  </w:t>
      </w:r>
      <w:r>
        <w:rPr>
          <w:rFonts w:ascii="Inter" w:cs="Inter" w:eastAsia="Inter" w:hAnsi="Inter"/>
          <w:b/>
          <w:bCs/>
          <w:color w:val="1273AD"/>
          <w:sz w:val="20"/>
          <w:szCs w:val="20"/>
        </w:rPr>
        <w:t xml:space="preserve">eeca2024.my/enms-pack</w:t>
      </w:r>
      <w:r>
        <w:rPr>
          <w:rFonts w:ascii="Inter" w:cs="Inter" w:eastAsia="Inter" w:hAnsi="Inter"/>
          <w:color w:val="4B5563"/>
          <w:sz w:val="19"/>
          <w:szCs w:val="19"/>
        </w:rPr>
        <w:t xml:space="preserve">   ·   anslem@innovast.asia   ·   +60 12 355 6214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080" w:right="1080" w:bottom="1080" w:left="108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ppins">
    <w:charset w:val="00"/>
    <w:family w:val="swiss"/>
    <w:pitch w:val="variable"/>
    <w:embedRegular r:id="rIdFont1" w:fontKey="{5627AD9B-6896-4F6A-BD83-36223B10B58F}"/>
    <w:embedBold r:id="rIdFont2" w:fontKey="{374BAA80-7C7F-47E1-A8F0-6A2450C7883F}"/>
  </w:font>
  <w:font w:name="Inter">
    <w:charset w:val="00"/>
    <w:family w:val="swiss"/>
    <w:pitch w:val="variable"/>
    <w:embedRegular r:id="rIdFont3" w:fontKey="{80362AE0-2562-4BC1-8CB1-9909731A9DE7}"/>
    <w:embedBold r:id="rIdFont4" w:fontKey="{9000C518-2146-415F-86A3-68B5B1E87196}"/>
    <w:embedItalic r:id="rIdFont5" w:fontKey="{DD2204EA-95EE-4F06-BF6D-8EF8488AA5CA}"/>
    <w:embedBoldItalic r:id="rIdFont6" w:fontKey="{7916AC7B-7D1D-4417-AC62-4F6F004E5A2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3"/>
      </w:pBdr>
      <w:tabs>
        <w:tab w:val="right" w:pos="9746"/>
      </w:tabs>
      <w:spacing w:after="20"/>
    </w:pPr>
    <w:r>
      <w:rPr>
        <w:rFonts w:ascii="Inter" w:cs="Inter" w:eastAsia="Inter" w:hAnsi="Inter"/>
        <w:color w:val="6B7280"/>
        <w:sz w:val="15"/>
        <w:szCs w:val="15"/>
      </w:rPr>
      <w:t xml:space="preserve">INV-ENMS-C3 · Rev 1.0 · Draft for adaptation</w:t>
    </w:r>
    <w:r>
      <w:rPr>
        <w:rFonts w:ascii="Inter" w:cs="Inter" w:eastAsia="Inter" w:hAnsi="Inter"/>
        <w:sz w:val="15"/>
        <w:szCs w:val="15"/>
      </w:rPr>
      <w:t xml:space="preserve">	</w:t>
    </w:r>
    <w:r>
      <w:rPr>
        <w:rFonts w:ascii="Inter" w:cs="Inter" w:eastAsia="Inter" w:hAnsi="Inter"/>
        <w:color w:val="6B7280"/>
        <w:sz w:val="15"/>
        <w:szCs w:val="15"/>
      </w:rPr>
      <w:t xml:space="preserve">Page </w:t>
    </w:r>
    <w:r>
      <w:rPr>
        <w:rFonts w:ascii="Inter" w:cs="Inter" w:eastAsia="Inter" w:hAnsi="Inter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6B7280"/>
        <w:sz w:val="15"/>
        <w:szCs w:val="15"/>
      </w:rPr>
      <w:t xml:space="preserve"> of </w:t>
    </w:r>
    <w:r>
      <w:rPr>
        <w:rFonts w:ascii="Inter" w:cs="Inter" w:eastAsia="Inter" w:hAnsi="Inter"/>
        <w:color w:val="6B7280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  <w:p>
    <w:pPr>
      <w:jc w:val="center"/>
    </w:pPr>
    <w:r>
      <w:rPr>
        <w:rFonts w:ascii="Inter" w:cs="Inter" w:eastAsia="Inter" w:hAnsi="Inter"/>
        <w:color w:val="6B7280"/>
        <w:sz w:val="15"/>
        <w:szCs w:val="15"/>
      </w:rPr>
      <w:t xml:space="preserve">Innovast Sdn Bhd · Licensed ESCO · Registered with Suruhanjaya Tenaga (Energy Commission Malaysia)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6"/>
      </w:pBdr>
      <w:spacing w:after="40"/>
    </w:pPr>
    <w:r>
      <w:rPr>
        <w:rFonts w:ascii="Poppins" w:cs="Poppins" w:eastAsia="Poppins" w:hAnsi="Poppins"/>
        <w:b/>
        <w:bCs/>
        <w:color w:val="111827"/>
        <w:sz w:val="21"/>
        <w:szCs w:val="21"/>
      </w:rPr>
      <w:t xml:space="preserve">Innovast Sdn Bhd</w:t>
    </w:r>
  </w:p>
  <w:p>
    <w:pPr>
      <w:spacing w:after="20"/>
    </w:pPr>
    <w:r>
      <w:rPr>
        <w:rFonts w:ascii="Inter" w:cs="Inter" w:eastAsia="Inter" w:hAnsi="Inter"/>
        <w:color w:val="4B5563"/>
        <w:sz w:val="18"/>
        <w:szCs w:val="18"/>
      </w:rPr>
      <w:t xml:space="preserve">Licensed Energy Service Company (ESCO) · ESCO Reg. No. ESCO 327(2023)/76/2024</w:t>
    </w:r>
  </w:p>
  <w:p>
    <w:pPr>
      <w:spacing w:after="20"/>
    </w:pPr>
    <w:r>
      <w:rPr>
        <w:rFonts w:ascii="Inter" w:cs="Inter" w:eastAsia="Inter" w:hAnsi="Inter"/>
        <w:color w:val="4B5563"/>
        <w:sz w:val="18"/>
        <w:szCs w:val="18"/>
      </w:rPr>
      <w:t xml:space="preserve">Company Reg. No. 202201012221 (1457918-M) · Registered with Suruhanjaya Tenaga · SEDA Recognised</w:t>
    </w:r>
  </w:p>
  <w:p>
    <w:pPr>
      <w:spacing w:after="0"/>
    </w:pPr>
    <w:r>
      <w:rPr>
        <w:rFonts w:ascii="Inter" w:cs="Inter" w:eastAsia="Inter" w:hAnsi="Inter"/>
        <w:color w:val="1273AD"/>
        <w:sz w:val="18"/>
        <w:szCs w:val="18"/>
      </w:rPr>
      <w:t xml:space="preserve">www.innovast.asia · anslem@innovast.asia · +60 12 355 6214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5E7EB" w:sz="4" w:space="3"/>
      </w:pBdr>
      <w:tabs>
        <w:tab w:val="right" w:pos="9746"/>
      </w:tabs>
    </w:pPr>
    <w:r>
      <w:drawing>
        <wp:inline distT="0" distB="0" distL="0" distR="0">
          <wp:extent cx="85725" cy="1524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Poppins" w:cs="Poppins" w:eastAsia="Poppins" w:hAnsi="Poppins"/>
        <w:b/>
        <w:bCs/>
        <w:color w:val="6B7280"/>
        <w:sz w:val="16"/>
        <w:szCs w:val="16"/>
      </w:rPr>
      <w:t xml:space="preserve">  EECA 2024 EnMS Starter Pack</w:t>
    </w:r>
    <w:r>
      <w:rPr>
        <w:rFonts w:ascii="Inter" w:cs="Inter" w:eastAsia="Inter" w:hAnsi="Inter"/>
        <w:color w:val="6B7280"/>
        <w:sz w:val="16"/>
        <w:szCs w:val="16"/>
      </w:rPr>
      <w:t xml:space="preserve">	C3 · Committee &amp; Governance Kit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00"/>
      </w:pPr>
    </w:lvl>
    <w:lvl w:ilvl="1" w15:tentative="1">
      <w:start w:val="1"/>
      <w:numFmt w:val="bullet"/>
      <w:lvlText w:val="·"/>
      <w:lvlJc w:val="left"/>
      <w:pPr>
        <w:ind w:left="7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mbedTrueTypeFonts/>
  <w:saveSubsetFonts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F293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6a3225be243d0684e64ffa8d8cda75a3f659697e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 standalone="yes"?><Relationships xmlns="http://schemas.openxmlformats.org/package/2006/relationships"><Relationship Id="rIdFont1" Type="http://schemas.openxmlformats.org/officeDocument/2006/relationships/font" Target="fonts/font1.odttf"/><Relationship Id="rIdFont2" Type="http://schemas.openxmlformats.org/officeDocument/2006/relationships/font" Target="fonts/font2.odttf"/><Relationship Id="rIdFont3" Type="http://schemas.openxmlformats.org/officeDocument/2006/relationships/font" Target="fonts/font3.odttf"/><Relationship Id="rIdFont4" Type="http://schemas.openxmlformats.org/officeDocument/2006/relationships/font" Target="fonts/font4.odttf"/><Relationship Id="rIdFont5" Type="http://schemas.openxmlformats.org/officeDocument/2006/relationships/font" Target="fonts/font5.odttf"/><Relationship Id="rIdFont6" Type="http://schemas.openxmlformats.org/officeDocument/2006/relationships/font" Target="fonts/font6.odttf"/></Relationships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f7d3d510dd56c0f342def237bd02c91681dac2a.png"/></Relationships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 · Committee &amp; Governance Kit — EECA 2024 EnMS Starter Pack</dc:title>
  <dc:subject>EECA 2024 EnMS Starter Pack — draft EnMS documentation for Malaysian designated energy consumers (GP/ST/No.46/2024; Act 861; P.U.(A) 466/2024)</dc:subject>
  <dc:creator>Anslem Lim</dc:creator>
  <cp:keywords>EECA 2024, Act 861, EnMS, GP/ST/No.46/2024, energy management, Innovast, Suruhanjaya Tenaga</cp:keywords>
  <dc:description>Prepared by Innovast Sdn Bhd, Licensed ESCO (ESCO 327(2023)/76/2024). Draft for adaptation — adapt to your organisation before use; not regulatory advice.</dc:description>
  <cp:lastModifiedBy>Innovast Sdn Bhd</cp:lastModifiedBy>
  <cp:revision>1</cp:revision>
  <dcterms:created xsi:type="dcterms:W3CDTF">2026-07-29T04:16:48.110Z</dcterms:created>
  <dcterms:modified xsi:type="dcterms:W3CDTF">2026-07-29T04:16:48.110Z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