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46"/>
        <w:tblBorders>
          <w:top w:val="none"/>
          <w:left w:val="none"/>
          <w:bottom w:val="none"/>
          <w:right w:val="none"/>
          <w:insideH w:val="none"/>
          <w:insideV w:val="none"/>
        </w:tblBorders>
      </w:tblPr>
      <w:tblGrid>
        <w:gridCol w:w="8046"/>
        <w:gridCol w:w="1700"/>
      </w:tblGrid>
      <w:tr>
        <w:trPr>
          <w:cantSplit/>
          <w:trHeight w:val="80" w:hRule="exact"/>
        </w:trPr>
        <w:tc>
          <w:tcPr>
            <w:tcW w:type="dxa" w:w="8046"/>
            <w:tcBorders>
              <w:top w:val="none"/>
              <w:left w:val="none"/>
              <w:bottom w:val="none"/>
              <w:right w:val="none"/>
            </w:tcBorders>
            <w:shd w:fill="38B0F8" w:val="clear"/>
            <w:tcMar>
              <w:top w:type="dxa" w:w="0"/>
              <w:left w:type="dxa" w:w="0"/>
              <w:bottom w:type="dxa" w:w="0"/>
              <w:right w:type="dxa" w:w="0"/>
            </w:tcMar>
          </w:tcPr>
          <w:p>
            <w:pPr>
              <w:spacing w:after="0" w:line="40" w:lineRule="exact"/>
            </w:pPr>
            <w:r>
              <w:rPr>
                <w:sz w:val="2"/>
                <w:szCs w:val="2"/>
              </w:rPr>
              <w:t xml:space="preserve"/>
            </w:r>
          </w:p>
        </w:tc>
        <w:tc>
          <w:tcPr>
            <w:tcW w:type="dxa" w:w="1700"/>
            <w:tcBorders>
              <w:top w:val="none"/>
              <w:left w:val="none"/>
              <w:bottom w:val="none"/>
              <w:right w:val="none"/>
            </w:tcBorders>
            <w:shd w:fill="F89048" w:val="clear"/>
            <w:tcMar>
              <w:top w:type="dxa" w:w="0"/>
              <w:left w:type="dxa" w:w="0"/>
              <w:bottom w:type="dxa" w:w="0"/>
              <w:right w:type="dxa" w:w="0"/>
            </w:tcMar>
          </w:tcPr>
          <w:p>
            <w:pPr>
              <w:spacing w:after="0" w:line="40" w:lineRule="exact"/>
            </w:pPr>
            <w:r>
              <w:rPr>
                <w:sz w:val="2"/>
                <w:szCs w:val="2"/>
              </w:rPr>
              <w:t xml:space="preserve"/>
            </w:r>
          </w:p>
        </w:tc>
      </w:tr>
    </w:tbl>
    <w:p>
      <w:pPr>
        <w:spacing w:after="320"/>
      </w:pPr>
      <w:r>
        <w:rPr>
          <w:sz w:val="2"/>
          <w:szCs w:val="2"/>
        </w:rPr>
        <w:t xml:space="preserve"/>
      </w:r>
    </w:p>
    <w:p>
      <w:pPr>
        <w:spacing w:after="420"/>
      </w:pPr>
      <w:r>
        <w:drawing>
          <wp:inline distT="0" distB="0" distL="0" distR="0">
            <wp:extent cx="1905000" cy="485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905000" cy="485775"/>
                    </a:xfrm>
                    <a:prstGeom prst="rect">
                      <a:avLst/>
                    </a:prstGeom>
                  </pic:spPr>
                </pic:pic>
              </a:graphicData>
            </a:graphic>
          </wp:inline>
        </w:drawing>
      </w:r>
    </w:p>
    <w:p>
      <w:pPr>
        <w:spacing w:after="60" w:before="700"/>
      </w:pPr>
      <w:r>
        <w:rPr>
          <w:rFonts w:ascii="Poppins" w:cs="Poppins" w:eastAsia="Poppins" w:hAnsi="Poppins"/>
          <w:b/>
          <w:bCs/>
          <w:color w:val="F89048"/>
          <w:spacing w:val="20"/>
          <w:sz w:val="20"/>
          <w:szCs w:val="20"/>
        </w:rPr>
        <w:t xml:space="preserve">EECA 2024 EnMS STARTER PACK</w:t>
      </w:r>
    </w:p>
    <w:p>
      <w:pPr>
        <w:spacing w:after="100"/>
      </w:pPr>
      <w:r>
        <w:rPr>
          <w:rFonts w:ascii="Poppins" w:cs="Poppins" w:eastAsia="Poppins" w:hAnsi="Poppins"/>
          <w:b/>
          <w:bCs/>
          <w:color w:val="6B7280"/>
          <w:sz w:val="20"/>
          <w:szCs w:val="20"/>
        </w:rPr>
        <w:t xml:space="preserve">C2 · ENERGY POLICY</w:t>
      </w:r>
    </w:p>
    <w:p>
      <w:pPr>
        <w:spacing w:after="160"/>
      </w:pPr>
      <w:r>
        <w:rPr>
          <w:rFonts w:ascii="Poppins" w:cs="Poppins" w:eastAsia="Poppins" w:hAnsi="Poppins"/>
          <w:b/>
          <w:bCs/>
          <w:color w:val="111827"/>
          <w:sz w:val="52"/>
          <w:szCs w:val="52"/>
        </w:rPr>
        <w:t xml:space="preserve">Energy Management Policy Template</w:t>
      </w:r>
    </w:p>
    <w:p>
      <w:pPr>
        <w:pBdr>
          <w:top w:val="single" w:color="38B0F8" w:sz="18" w:space="8"/>
        </w:pBdr>
        <w:spacing w:after="200"/>
      </w:pPr>
      <w:r>
        <w:rPr>
          <w:rFonts w:ascii="Inter" w:cs="Inter" w:eastAsia="Inter" w:hAnsi="Inter"/>
          <w:color w:val="4B5563"/>
          <w:sz w:val="24"/>
          <w:szCs w:val="24"/>
        </w:rPr>
        <w:t xml:space="preserve">A policy carrying the four commitments GP/ST/No.46/2024 makes mandatory — in industry and building variants</w:t>
      </w:r>
    </w:p>
    <w:p>
      <w:pPr>
        <w:spacing w:after="360" w:line="320"/>
        <w:jc w:val="both"/>
      </w:pPr>
      <w:r>
        <w:rPr>
          <w:rFonts w:ascii="Inter" w:cs="Inter" w:eastAsia="Inter" w:hAnsi="Inter"/>
          <w:color w:val="1F2937"/>
          <w:sz w:val="20"/>
          <w:szCs w:val="20"/>
        </w:rPr>
        <w:t xml:space="preserve">GP46 para. 4.4 requires every designated energy consumer to develop an energy management policy containing four specific commitments, documented, promoted, signed by current top management, regularly reviewed, and displayed conspicuously. This template builds those requirements in, so what you adopt is compliant by construction.</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2100"/>
        <w:gridCol w:w="900"/>
        <w:gridCol w:w="1750"/>
        <w:gridCol w:w="2300"/>
        <w:gridCol w:w="2696"/>
      </w:tblGrid>
      <w:tr>
        <w:trPr>
          <w:cantSplit/>
        </w:trPr>
        <w:tc>
          <w:tcPr>
            <w:tcW w:type="dxa" w:w="21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DOCUMENT NO.</w:t>
            </w:r>
          </w:p>
          <w:p>
            <w:pPr>
              <w:spacing w:after="0" w:line="240"/>
            </w:pPr>
            <w:r>
              <w:rPr>
                <w:rFonts w:ascii="Inter" w:cs="Inter" w:eastAsia="Inter" w:hAnsi="Inter"/>
                <w:color w:val="111827"/>
                <w:sz w:val="18"/>
                <w:szCs w:val="18"/>
              </w:rPr>
              <w:t xml:space="preserve">INV-ENMS-C2</w:t>
            </w:r>
          </w:p>
        </w:tc>
        <w:tc>
          <w:tcPr>
            <w:tcW w:type="dxa" w:w="9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REV</w:t>
            </w:r>
          </w:p>
          <w:p>
            <w:pPr>
              <w:spacing w:after="0" w:line="240"/>
            </w:pPr>
            <w:r>
              <w:rPr>
                <w:rFonts w:ascii="Inter" w:cs="Inter" w:eastAsia="Inter" w:hAnsi="Inter"/>
                <w:color w:val="111827"/>
                <w:sz w:val="18"/>
                <w:szCs w:val="18"/>
              </w:rPr>
              <w:t xml:space="preserve">1.0</w:t>
            </w:r>
          </w:p>
        </w:tc>
        <w:tc>
          <w:tcPr>
            <w:tcW w:type="dxa" w:w="175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ISSUE DATE</w:t>
            </w:r>
          </w:p>
          <w:p>
            <w:pPr>
              <w:spacing w:after="0" w:line="240"/>
            </w:pPr>
            <w:r>
              <w:rPr>
                <w:rFonts w:ascii="Inter" w:cs="Inter" w:eastAsia="Inter" w:hAnsi="Inter"/>
                <w:color w:val="111827"/>
                <w:sz w:val="18"/>
                <w:szCs w:val="18"/>
              </w:rPr>
              <w:t xml:space="preserve">29 July 2026</w:t>
            </w:r>
          </w:p>
        </w:tc>
        <w:tc>
          <w:tcPr>
            <w:tcW w:type="dxa" w:w="2300"/>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PREPARED BY</w:t>
            </w:r>
          </w:p>
          <w:p>
            <w:pPr>
              <w:spacing w:after="0" w:line="240"/>
            </w:pPr>
            <w:r>
              <w:rPr>
                <w:rFonts w:ascii="Inter" w:cs="Inter" w:eastAsia="Inter" w:hAnsi="Inter"/>
                <w:color w:val="111827"/>
                <w:sz w:val="18"/>
                <w:szCs w:val="18"/>
              </w:rPr>
              <w:t xml:space="preserve">Innovast Sdn Bhd</w:t>
            </w:r>
          </w:p>
        </w:tc>
        <w:tc>
          <w:tcPr>
            <w:tcW w:type="dxa" w:w="2696"/>
            <w:tcMar>
              <w:top w:type="dxa" w:w="90"/>
              <w:left w:type="dxa" w:w="120"/>
              <w:bottom w:type="dxa" w:w="90"/>
              <w:right w:type="dxa" w:w="120"/>
            </w:tcMar>
            <w:vAlign w:val="center"/>
          </w:tcPr>
          <w:p>
            <w:pPr>
              <w:spacing w:after="20" w:line="240"/>
            </w:pPr>
            <w:r>
              <w:rPr>
                <w:rFonts w:ascii="Poppins" w:cs="Poppins" w:eastAsia="Poppins" w:hAnsi="Poppins"/>
                <w:b/>
                <w:bCs/>
                <w:color w:val="6B7280"/>
                <w:spacing w:val="10"/>
                <w:sz w:val="14"/>
                <w:szCs w:val="14"/>
              </w:rPr>
              <w:t xml:space="preserve">APPROVED BY</w:t>
            </w:r>
          </w:p>
          <w:p>
            <w:pPr>
              <w:spacing w:after="0" w:line="240"/>
            </w:pPr>
            <w:r>
              <w:rPr>
                <w:rFonts w:ascii="Inter" w:cs="Inter" w:eastAsia="Inter" w:hAnsi="Inter"/>
                <w:color w:val="111827"/>
                <w:sz w:val="18"/>
                <w:szCs w:val="18"/>
              </w:rPr>
              <w:t xml:space="preserve">Anslem Lim, CEO</w:t>
            </w:r>
          </w:p>
        </w:tc>
      </w:tr>
    </w:tbl>
    <w:p>
      <w:pPr>
        <w:spacing w:after="260" w:before="80"/>
        <w:jc w:val="both"/>
      </w:pPr>
      <w:r>
        <w:rPr>
          <w:rFonts w:ascii="Inter" w:cs="Inter" w:eastAsia="Inter" w:hAnsi="Inter"/>
          <w:i/>
          <w:iCs/>
          <w:color w:val="6B7280"/>
          <w:sz w:val="16"/>
          <w:szCs w:val="16"/>
        </w:rPr>
        <w:t xml:space="preserve">Rev 1.0 · issued 29 July 2026 · regulatory sources last verified 18 July 2026.</w:t>
      </w:r>
    </w:p>
    <w:tbl>
      <w:tblPr>
        <w:tblW w:type="dxa" w:w="9746"/>
        <w:tblBorders>
          <w:top w:val="single" w:color="E5E7EB" w:sz="4"/>
          <w:left w:val="single" w:color="F89048" w:sz="24"/>
          <w:bottom w:val="single" w:color="E5E7EB" w:sz="4"/>
          <w:right w:val="single" w:color="E5E7EB" w:sz="4"/>
          <w:insideH w:val="none"/>
          <w:insideV w:val="none"/>
        </w:tblBorders>
      </w:tblPr>
      <w:tblGrid>
        <w:gridCol w:w="9746"/>
      </w:tblGrid>
      <w:tr>
        <w:trPr>
          <w:cantSplit/>
        </w:trPr>
        <w:tc>
          <w:tcPr>
            <w:tcW w:type="dxa" w:w="9746"/>
            <w:shd w:fill="F9FAFB" w:val="clear"/>
            <w:tcMar>
              <w:top w:type="dxa" w:w="140"/>
              <w:left w:type="dxa" w:w="200"/>
              <w:bottom w:type="dxa" w:w="140"/>
              <w:right w:type="dxa" w:w="200"/>
            </w:tcMar>
          </w:tcPr>
          <w:p>
            <w:pPr>
              <w:spacing w:after="0" w:line="260"/>
              <w:jc w:val="both"/>
            </w:pPr>
            <w:r>
              <w:rPr>
                <w:rFonts w:ascii="Inter" w:cs="Inter" w:eastAsia="Inter" w:hAnsi="Inter"/>
                <w:b/>
                <w:bCs/>
                <w:color w:val="111827"/>
                <w:sz w:val="18"/>
                <w:szCs w:val="18"/>
              </w:rPr>
              <w:t xml:space="preserve">DRAFT FOR ADAPTATION</w:t>
            </w:r>
            <w:r>
              <w:rPr>
                <w:rFonts w:ascii="Inter" w:cs="Inter" w:eastAsia="Inter" w:hAnsi="Inter"/>
                <w:color w:val="4B5563"/>
                <w:sz w:val="18"/>
                <w:szCs w:val="18"/>
              </w:rPr>
              <w:t xml:space="preserve"> — this template is not regulatory advice. Prepared with reference to GP/ST/No.46/2024 (Guidelines on Energy Management System), the Energy Efficiency and Conservation Act 2024 [Act 861] and the Energy Efficiency and Conservation Regulations 2024 [P.U.(A) 466/2024]; sources last verified 18 July 2026. Adapt every field to your organisation before use. Only Suruhanjaya Tenaga can determine compliance with the Act.</w:t>
            </w:r>
          </w:p>
        </w:tc>
      </w:tr>
    </w:tbl>
    <w:p>
      <w:r>
        <w:br w:type="page"/>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1</w:t>
      </w:r>
      <w:r>
        <w:rPr>
          <w:rFonts w:ascii="Poppins" w:cs="Poppins" w:eastAsia="Poppins" w:hAnsi="Poppins"/>
          <w:sz w:val="30"/>
          <w:szCs w:val="30"/>
        </w:rPr>
        <w:tab/>
      </w:r>
      <w:r>
        <w:rPr>
          <w:rFonts w:ascii="Poppins" w:cs="Poppins" w:eastAsia="Poppins" w:hAnsi="Poppins"/>
          <w:b/>
          <w:bCs/>
          <w:color w:val="111827"/>
          <w:sz w:val="30"/>
          <w:szCs w:val="30"/>
        </w:rPr>
        <w:t xml:space="preserve">What GP46 requires of the policy</w:t>
      </w:r>
    </w:p>
    <w:p>
      <w:pPr>
        <w:spacing w:after="140" w:line="300"/>
        <w:jc w:val="both"/>
      </w:pPr>
      <w:r>
        <w:rPr>
          <w:rFonts w:ascii="Inter" w:cs="Inter" w:eastAsia="Inter" w:hAnsi="Inter"/>
          <w:color w:val="1F2937"/>
          <w:sz w:val="20"/>
          <w:szCs w:val="20"/>
        </w:rPr>
        <w:t xml:space="preserve">Four commitments are mandatory content (GP46 para. 4.4.1). The policy must commit the organisation to:</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640"/>
        <w:gridCol w:w="6939"/>
        <w:gridCol w:w="2167"/>
      </w:tblGrid>
      <w:tr>
        <w:trPr>
          <w:cantSplit/>
          <w:tblHeader/>
        </w:trPr>
        <w:tc>
          <w:tcPr>
            <w:tcW w:type="dxa" w:w="64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w:t>
            </w:r>
          </w:p>
        </w:tc>
        <w:tc>
          <w:tcPr>
            <w:tcW w:type="dxa" w:w="6939"/>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Mandatory commitment</w:t>
            </w:r>
          </w:p>
        </w:tc>
        <w:tc>
          <w:tcPr>
            <w:tcW w:type="dxa" w:w="2167"/>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Where it appears below</w:t>
            </w:r>
          </w:p>
        </w:tc>
      </w:tr>
      <w:tr>
        <w:trPr>
          <w:cantSplit/>
        </w:trPr>
        <w:tc>
          <w:tcPr>
            <w:tcW w:type="dxa" w:w="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w:t>
            </w:r>
          </w:p>
        </w:tc>
        <w:tc>
          <w:tcPr>
            <w:tcW w:type="dxa" w:w="693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Continual improvement of energy performance through development of an action plan to achieve EnMS objectives and targets</w:t>
            </w:r>
          </w:p>
        </w:tc>
        <w:tc>
          <w:tcPr>
            <w:tcW w:type="dxa" w:w="2167"/>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Commitment bullet 1</w:t>
            </w:r>
          </w:p>
        </w:tc>
      </w:tr>
      <w:tr>
        <w:trPr>
          <w:cantSplit/>
        </w:trPr>
        <w:tc>
          <w:tcPr>
            <w:tcW w:type="dxa" w:w="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(b)</w:t>
            </w:r>
          </w:p>
        </w:tc>
        <w:tc>
          <w:tcPr>
            <w:tcW w:type="dxa" w:w="693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Providing the necessary information, data and resources for the implementation of the action plan</w:t>
            </w:r>
          </w:p>
        </w:tc>
        <w:tc>
          <w:tcPr>
            <w:tcW w:type="dxa" w:w="2167"/>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Commitment bullet 2</w:t>
            </w:r>
          </w:p>
        </w:tc>
      </w:tr>
      <w:tr>
        <w:trPr>
          <w:cantSplit/>
        </w:trPr>
        <w:tc>
          <w:tcPr>
            <w:tcW w:type="dxa" w:w="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w:t>
            </w:r>
          </w:p>
        </w:tc>
        <w:tc>
          <w:tcPr>
            <w:tcW w:type="dxa" w:w="693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Compliance with any other written law</w:t>
            </w:r>
          </w:p>
        </w:tc>
        <w:tc>
          <w:tcPr>
            <w:tcW w:type="dxa" w:w="2167"/>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Commitment bullet 3</w:t>
            </w:r>
          </w:p>
        </w:tc>
      </w:tr>
      <w:tr>
        <w:trPr>
          <w:cantSplit/>
        </w:trPr>
        <w:tc>
          <w:tcPr>
            <w:tcW w:type="dxa" w:w="6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w:t>
            </w:r>
          </w:p>
        </w:tc>
        <w:tc>
          <w:tcPr>
            <w:tcW w:type="dxa" w:w="6939"/>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Supporting the use, purchase and services of energy-efficient products in new projects, retrofitted and renovated facilities where economically feasible</w:t>
            </w:r>
          </w:p>
        </w:tc>
        <w:tc>
          <w:tcPr>
            <w:tcW w:type="dxa" w:w="2167"/>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Commitment bullet 4</w:t>
            </w:r>
          </w:p>
        </w:tc>
      </w:tr>
    </w:tbl>
    <w:p>
      <w:pPr>
        <w:spacing w:after="140" w:line="300"/>
        <w:jc w:val="both"/>
      </w:pPr>
      <w:r>
        <w:rPr>
          <w:rFonts w:ascii="Inter" w:cs="Inter" w:eastAsia="Inter" w:hAnsi="Inter"/>
          <w:color w:val="1F2937"/>
          <w:sz w:val="20"/>
          <w:szCs w:val="20"/>
        </w:rPr>
        <w:t xml:space="preserve">Beyond content, GP46 para. 4.4.2–4.4.4 impose four handling duties: the policy must be </w:t>
      </w:r>
      <w:r>
        <w:rPr>
          <w:rFonts w:ascii="Inter" w:cs="Inter" w:eastAsia="Inter" w:hAnsi="Inter"/>
          <w:b/>
          <w:bCs/>
          <w:color w:val="1F2937"/>
          <w:sz w:val="20"/>
          <w:szCs w:val="20"/>
        </w:rPr>
        <w:t xml:space="preserve">documented, implemented and promoted</w:t>
      </w:r>
      <w:r>
        <w:rPr>
          <w:rFonts w:ascii="Inter" w:cs="Inter" w:eastAsia="Inter" w:hAnsi="Inter"/>
          <w:color w:val="1F2937"/>
          <w:sz w:val="20"/>
          <w:szCs w:val="20"/>
        </w:rPr>
        <w:t xml:space="preserve"> throughout the organisation; </w:t>
      </w:r>
      <w:r>
        <w:rPr>
          <w:rFonts w:ascii="Inter" w:cs="Inter" w:eastAsia="Inter" w:hAnsi="Inter"/>
          <w:b/>
          <w:bCs/>
          <w:color w:val="1F2937"/>
          <w:sz w:val="20"/>
          <w:szCs w:val="20"/>
        </w:rPr>
        <w:t xml:space="preserve">regularly reviewed</w:t>
      </w:r>
      <w:r>
        <w:rPr>
          <w:rFonts w:ascii="Inter" w:cs="Inter" w:eastAsia="Inter" w:hAnsi="Inter"/>
          <w:color w:val="1F2937"/>
          <w:sz w:val="20"/>
          <w:szCs w:val="20"/>
        </w:rPr>
        <w:t xml:space="preserve"> against performance and kept up to date; </w:t>
      </w:r>
      <w:r>
        <w:rPr>
          <w:rFonts w:ascii="Inter" w:cs="Inter" w:eastAsia="Inter" w:hAnsi="Inter"/>
          <w:b/>
          <w:bCs/>
          <w:color w:val="1F2937"/>
          <w:sz w:val="20"/>
          <w:szCs w:val="20"/>
        </w:rPr>
        <w:t xml:space="preserve">signed by the current top management</w:t>
      </w:r>
      <w:r>
        <w:rPr>
          <w:rFonts w:ascii="Inter" w:cs="Inter" w:eastAsia="Inter" w:hAnsi="Inter"/>
          <w:color w:val="1F2937"/>
          <w:sz w:val="20"/>
          <w:szCs w:val="20"/>
        </w:rPr>
        <w:t xml:space="preserve"> (re-sign on any change of leadership); and </w:t>
      </w:r>
      <w:r>
        <w:rPr>
          <w:rFonts w:ascii="Inter" w:cs="Inter" w:eastAsia="Inter" w:hAnsi="Inter"/>
          <w:b/>
          <w:bCs/>
          <w:color w:val="1F2937"/>
          <w:sz w:val="20"/>
          <w:szCs w:val="20"/>
        </w:rPr>
        <w:t xml:space="preserve">displayed in a conspicuous part of the premises</w:t>
      </w:r>
      <w:r>
        <w:rPr>
          <w:rFonts w:ascii="Inter" w:cs="Inter" w:eastAsia="Inter" w:hAnsi="Inter"/>
          <w:color w:val="1F2937"/>
          <w:sz w:val="20"/>
          <w:szCs w:val="20"/>
        </w:rPr>
        <w:t xml:space="preserve">, visible to all staff and employees. The signature and review blocks in the template exist to evidence exactly these duties.</w:t>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2</w:t>
      </w:r>
      <w:r>
        <w:rPr>
          <w:rFonts w:ascii="Poppins" w:cs="Poppins" w:eastAsia="Poppins" w:hAnsi="Poppins"/>
          <w:sz w:val="30"/>
          <w:szCs w:val="30"/>
        </w:rPr>
        <w:tab/>
      </w:r>
      <w:r>
        <w:rPr>
          <w:rFonts w:ascii="Poppins" w:cs="Poppins" w:eastAsia="Poppins" w:hAnsi="Poppins"/>
          <w:b/>
          <w:bCs/>
          <w:color w:val="111827"/>
          <w:sz w:val="30"/>
          <w:szCs w:val="30"/>
        </w:rPr>
        <w:t xml:space="preserve">How to adapt</w:t>
      </w:r>
    </w:p>
    <w:p>
      <w:pPr>
        <w:pStyle w:val="ListParagraph"/>
        <w:numPr>
          <w:ilvl w:val="0"/>
          <w:numId w:val="2"/>
        </w:numPr>
        <w:spacing w:after="90" w:line="290"/>
        <w:jc w:val="both"/>
      </w:pPr>
      <w:r>
        <w:rPr>
          <w:rFonts w:ascii="Inter" w:cs="Inter" w:eastAsia="Inter" w:hAnsi="Inter"/>
          <w:color w:val="1F2937"/>
          <w:sz w:val="20"/>
          <w:szCs w:val="20"/>
        </w:rPr>
        <w:t xml:space="preserve">Replace every [bracketed] field. Keep the four mandatory commitments in substance — you may reword, add or strengthen, but never delete or dilute them.</w:t>
      </w:r>
    </w:p>
    <w:p>
      <w:pPr>
        <w:pStyle w:val="ListParagraph"/>
        <w:numPr>
          <w:ilvl w:val="0"/>
          <w:numId w:val="2"/>
        </w:numPr>
        <w:spacing w:after="90" w:line="290"/>
        <w:jc w:val="both"/>
      </w:pPr>
      <w:r>
        <w:rPr>
          <w:rFonts w:ascii="Inter" w:cs="Inter" w:eastAsia="Inter" w:hAnsi="Inter"/>
          <w:color w:val="1F2937"/>
          <w:sz w:val="20"/>
          <w:szCs w:val="20"/>
        </w:rPr>
        <w:t xml:space="preserve">Choose one variant. The industry variant speaks in processes and utilities; the building variant speaks in building systems, BEI and tenants. Delete the variant you do not use.</w:t>
      </w:r>
    </w:p>
    <w:p>
      <w:pPr>
        <w:pStyle w:val="ListParagraph"/>
        <w:numPr>
          <w:ilvl w:val="0"/>
          <w:numId w:val="2"/>
        </w:numPr>
        <w:spacing w:after="90" w:line="290"/>
        <w:jc w:val="both"/>
      </w:pPr>
      <w:r>
        <w:rPr>
          <w:rFonts w:ascii="Inter" w:cs="Inter" w:eastAsia="Inter" w:hAnsi="Inter"/>
          <w:color w:val="1F2937"/>
          <w:sz w:val="20"/>
          <w:szCs w:val="20"/>
        </w:rPr>
        <w:t xml:space="preserve">Have the Committee adopt the draft, then obtain top management’s signature — GP46 assigns policy review and endorsement to top management (para. 4.2(a)(ii)).</w:t>
      </w:r>
    </w:p>
    <w:p>
      <w:pPr>
        <w:pStyle w:val="ListParagraph"/>
        <w:numPr>
          <w:ilvl w:val="0"/>
          <w:numId w:val="2"/>
        </w:numPr>
        <w:spacing w:after="90" w:line="290"/>
        <w:jc w:val="both"/>
      </w:pPr>
      <w:r>
        <w:rPr>
          <w:rFonts w:ascii="Inter" w:cs="Inter" w:eastAsia="Inter" w:hAnsi="Inter"/>
          <w:color w:val="1F2937"/>
          <w:sz w:val="20"/>
          <w:szCs w:val="20"/>
        </w:rPr>
        <w:t xml:space="preserve">Display it: notice boards, site entrance, intranet. Diarise a review at least annually alongside the management review (C3).</w:t>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3</w:t>
      </w:r>
      <w:r>
        <w:rPr>
          <w:rFonts w:ascii="Poppins" w:cs="Poppins" w:eastAsia="Poppins" w:hAnsi="Poppins"/>
          <w:sz w:val="30"/>
          <w:szCs w:val="30"/>
        </w:rPr>
        <w:tab/>
      </w:r>
      <w:r>
        <w:rPr>
          <w:rFonts w:ascii="Poppins" w:cs="Poppins" w:eastAsia="Poppins" w:hAnsi="Poppins"/>
          <w:b/>
          <w:bCs/>
          <w:color w:val="111827"/>
          <w:sz w:val="30"/>
          <w:szCs w:val="30"/>
        </w:rPr>
        <w:t xml:space="preserve">Variant A — Industry sector</w:t>
      </w:r>
    </w:p>
    <w:p>
      <w:pPr>
        <w:keepNext/>
        <w:keepLines/>
        <w:spacing w:after="60" w:before="200"/>
      </w:pPr>
      <w:r>
        <w:rPr>
          <w:rFonts w:ascii="Poppins" w:cs="Poppins" w:eastAsia="Poppins" w:hAnsi="Poppins"/>
          <w:b/>
          <w:bCs/>
          <w:color w:val="111827"/>
          <w:sz w:val="28"/>
          <w:szCs w:val="28"/>
        </w:rPr>
        <w:t xml:space="preserve"/>
      </w:r>
    </w:p>
    <w:p>
      <w:pPr>
        <w:keepNext/>
        <w:spacing w:after="160"/>
        <w:jc w:val="left"/>
      </w:pPr>
      <w:r>
        <w:rPr>
          <w:rFonts w:ascii="Inter" w:cs="Inter" w:eastAsia="Inter" w:hAnsi="Inter"/>
          <w:i/>
          <w:iCs/>
          <w:color w:val="6B7280"/>
          <w:sz w:val="18"/>
          <w:szCs w:val="18"/>
        </w:rPr>
        <w:t xml:space="preserve">For manufacturing plants and industrial facilities. Adapt every field.</w:t>
      </w:r>
    </w:p>
    <w:tbl>
      <w:tblPr>
        <w:tblW w:type="dxa" w:w="9746"/>
        <w:tblBorders>
          <w:top w:val="single" w:color="E5E7EB" w:sz="4"/>
          <w:left w:val="single" w:color="38B0F8" w:sz="24"/>
          <w:bottom w:val="single" w:color="E5E7EB" w:sz="4"/>
          <w:right w:val="single" w:color="E5E7EB" w:sz="4"/>
          <w:insideH w:val="none"/>
          <w:insideV w:val="none"/>
        </w:tblBorders>
      </w:tblPr>
      <w:tblGrid>
        <w:gridCol w:w="9746"/>
      </w:tblGrid>
      <w:tr>
        <w:trPr>
          <w:cantSplit/>
        </w:trPr>
        <w:tc>
          <w:tcPr>
            <w:tcW w:type="dxa" w:w="9746"/>
            <w:shd w:fill="F9FAFB" w:val="clear"/>
            <w:tcMar>
              <w:top w:type="dxa" w:w="140"/>
              <w:left w:type="dxa" w:w="200"/>
              <w:bottom w:type="dxa" w:w="140"/>
              <w:right w:type="dxa" w:w="200"/>
            </w:tcMar>
          </w:tcPr>
          <w:p>
            <w:pPr>
              <w:spacing w:after="60"/>
              <w:jc w:val="both"/>
            </w:pPr>
            <w:r>
              <w:rPr>
                <w:rFonts w:ascii="Inter" w:cs="Inter" w:eastAsia="Inter" w:hAnsi="Inter"/>
                <w:b/>
                <w:bCs/>
                <w:color w:val="111827"/>
                <w:sz w:val="22"/>
                <w:szCs w:val="22"/>
              </w:rPr>
              <w:t xml:space="preserve">ENERGY MANAGEMENT POLICY</w:t>
            </w:r>
          </w:p>
          <w:p>
            <w:pPr>
              <w:spacing w:after="140"/>
              <w:jc w:val="both"/>
            </w:pPr>
            <w:r>
              <w:rPr>
                <w:rFonts w:ascii="Inter" w:cs="Inter" w:eastAsia="Inter" w:hAnsi="Inter"/>
                <w:b/>
                <w:bCs/>
                <w:color w:val="1F2937"/>
                <w:sz w:val="19"/>
                <w:szCs w:val="19"/>
              </w:rPr>
              <w:t xml:space="preserve">[Company name] </w:t>
            </w:r>
            <w:r>
              <w:rPr>
                <w:rFonts w:ascii="Inter" w:cs="Inter" w:eastAsia="Inter" w:hAnsi="Inter"/>
                <w:color w:val="4B5563"/>
                <w:sz w:val="19"/>
                <w:szCs w:val="19"/>
              </w:rPr>
              <w:t xml:space="preserve">([Company registration number])</w:t>
            </w:r>
          </w:p>
          <w:p>
            <w:pPr>
              <w:spacing w:after="140" w:line="300"/>
              <w:jc w:val="both"/>
            </w:pPr>
            <w:r>
              <w:rPr>
                <w:rFonts w:ascii="Inter" w:cs="Inter" w:eastAsia="Inter" w:hAnsi="Inter"/>
                <w:b/>
                <w:bCs/>
                <w:color w:val="111827"/>
                <w:sz w:val="20"/>
                <w:szCs w:val="20"/>
              </w:rPr>
              <w:t xml:space="preserve">Scope. </w:t>
            </w:r>
            <w:r>
              <w:rPr>
                <w:rFonts w:ascii="Inter" w:cs="Inter" w:eastAsia="Inter" w:hAnsi="Inter"/>
                <w:color w:val="1F2937"/>
                <w:sz w:val="20"/>
                <w:szCs w:val="20"/>
              </w:rPr>
              <w:t xml:space="preserve">This policy applies to all facilities, operations and personnel of [Company name] within the energy management system boundary, which covers the whole of the company’s facilities at [site address(es)].</w:t>
            </w:r>
          </w:p>
          <w:p>
            <w:pPr>
              <w:spacing w:after="140" w:line="300"/>
              <w:jc w:val="both"/>
            </w:pPr>
            <w:r>
              <w:rPr>
                <w:rFonts w:ascii="Inter" w:cs="Inter" w:eastAsia="Inter" w:hAnsi="Inter"/>
                <w:b/>
                <w:bCs/>
                <w:color w:val="111827"/>
                <w:sz w:val="20"/>
                <w:szCs w:val="20"/>
              </w:rPr>
              <w:t xml:space="preserve">Commitment. </w:t>
            </w:r>
            <w:r>
              <w:rPr>
                <w:rFonts w:ascii="Inter" w:cs="Inter" w:eastAsia="Inter" w:hAnsi="Inter"/>
                <w:color w:val="1F2937"/>
                <w:sz w:val="20"/>
                <w:szCs w:val="20"/>
              </w:rPr>
              <w:t xml:space="preserve">[Company name] recognises energy as a managed resource and a regulated obligation under the Energy Efficiency and Conservation Act 2024 [Act 861]. The management and all employees commit to:</w:t>
            </w:r>
          </w:p>
          <w:p>
            <w:pPr>
              <w:pStyle w:val="ListParagraph"/>
              <w:numPr>
                <w:ilvl w:val="0"/>
                <w:numId w:val="2"/>
              </w:numPr>
              <w:spacing w:after="90" w:line="290"/>
              <w:jc w:val="both"/>
            </w:pPr>
            <w:r>
              <w:rPr>
                <w:rFonts w:ascii="Inter" w:cs="Inter" w:eastAsia="Inter" w:hAnsi="Inter"/>
                <w:color w:val="1F2937"/>
                <w:sz w:val="19"/>
                <w:szCs w:val="19"/>
              </w:rPr>
              <w:t xml:space="preserve">Improve energy performance continually, through a documented action plan that sets energy objectives, targets and energy saving measures across our production processes, utilities and facilities, and reviews them against our energy efficiency indicators.</w:t>
            </w:r>
          </w:p>
          <w:p>
            <w:pPr>
              <w:pStyle w:val="ListParagraph"/>
              <w:numPr>
                <w:ilvl w:val="0"/>
                <w:numId w:val="2"/>
              </w:numPr>
              <w:spacing w:after="90" w:line="290"/>
              <w:jc w:val="both"/>
            </w:pPr>
            <w:r>
              <w:rPr>
                <w:rFonts w:ascii="Inter" w:cs="Inter" w:eastAsia="Inter" w:hAnsi="Inter"/>
                <w:color w:val="1F2937"/>
                <w:sz w:val="19"/>
                <w:szCs w:val="19"/>
              </w:rPr>
              <w:t xml:space="preserve">Provide the information, data and resources — human, technical and financial — required to implement the action plan and to sustain the energy management system.</w:t>
            </w:r>
          </w:p>
          <w:p>
            <w:pPr>
              <w:pStyle w:val="ListParagraph"/>
              <w:numPr>
                <w:ilvl w:val="0"/>
                <w:numId w:val="2"/>
              </w:numPr>
              <w:spacing w:after="90" w:line="290"/>
              <w:jc w:val="both"/>
            </w:pPr>
            <w:r>
              <w:rPr>
                <w:rFonts w:ascii="Inter" w:cs="Inter" w:eastAsia="Inter" w:hAnsi="Inter"/>
                <w:color w:val="1F2937"/>
                <w:sz w:val="19"/>
                <w:szCs w:val="19"/>
              </w:rPr>
              <w:t xml:space="preserve">Comply with the Energy Efficiency and Conservation Act 2024, its regulations and guidelines, and any other written law applicable to our use of energy.</w:t>
            </w:r>
          </w:p>
          <w:p>
            <w:pPr>
              <w:pStyle w:val="ListParagraph"/>
              <w:numPr>
                <w:ilvl w:val="0"/>
                <w:numId w:val="2"/>
              </w:numPr>
              <w:spacing w:after="90" w:line="290"/>
              <w:jc w:val="both"/>
            </w:pPr>
            <w:r>
              <w:rPr>
                <w:rFonts w:ascii="Inter" w:cs="Inter" w:eastAsia="Inter" w:hAnsi="Inter"/>
                <w:color w:val="1F2937"/>
                <w:sz w:val="19"/>
                <w:szCs w:val="19"/>
              </w:rPr>
              <w:t xml:space="preserve">Support the purchase and use of energy-efficient products, equipment and services in new projects, retrofits and renovations, and consider energy performance in the design and procurement of significant energy-using systems, where economically feasible.</w:t>
            </w:r>
          </w:p>
          <w:p>
            <w:pPr>
              <w:pStyle w:val="ListParagraph"/>
              <w:numPr>
                <w:ilvl w:val="0"/>
                <w:numId w:val="2"/>
              </w:numPr>
              <w:spacing w:after="90" w:line="290"/>
              <w:jc w:val="both"/>
            </w:pPr>
            <w:r>
              <w:rPr>
                <w:rFonts w:ascii="Inter" w:cs="Inter" w:eastAsia="Inter" w:hAnsi="Inter"/>
                <w:color w:val="1F2937"/>
                <w:sz w:val="19"/>
                <w:szCs w:val="19"/>
              </w:rPr>
              <w:t xml:space="preserve">Measure and verify the results of energy saving measures, and report energy performance honestly — internally to management and employees, and externally as required by Suruhanjaya Tenaga.</w:t>
            </w:r>
          </w:p>
          <w:p>
            <w:pPr>
              <w:spacing w:before="100"/>
              <w:jc w:val="both"/>
            </w:pPr>
            <w:r>
              <w:rPr>
                <w:rFonts w:ascii="Inter" w:cs="Inter" w:eastAsia="Inter" w:hAnsi="Inter"/>
                <w:b/>
                <w:bCs/>
                <w:color w:val="111827"/>
                <w:sz w:val="20"/>
                <w:szCs w:val="20"/>
              </w:rPr>
              <w:t xml:space="preserve">Governance. </w:t>
            </w:r>
            <w:r>
              <w:rPr>
                <w:rFonts w:ascii="Inter" w:cs="Inter" w:eastAsia="Inter" w:hAnsi="Inter"/>
                <w:color w:val="1F2937"/>
                <w:sz w:val="20"/>
                <w:szCs w:val="20"/>
              </w:rPr>
              <w:t xml:space="preserve">An Energy Management Committee, chaired by the management representative and supported by the registered energy manager, is responsible for implementing this policy through the energy management action plan, and reports its progress and results to top management.</w:t>
            </w:r>
          </w:p>
          <w:p>
            <w:pPr>
              <w:spacing w:after="140" w:line="300"/>
              <w:jc w:val="both"/>
            </w:pPr>
            <w:r>
              <w:rPr>
                <w:rFonts w:ascii="Inter" w:cs="Inter" w:eastAsia="Inter" w:hAnsi="Inter"/>
                <w:b/>
                <w:bCs/>
                <w:color w:val="111827"/>
                <w:sz w:val="20"/>
                <w:szCs w:val="20"/>
              </w:rPr>
              <w:t xml:space="preserve">Review. </w:t>
            </w:r>
            <w:r>
              <w:rPr>
                <w:rFonts w:ascii="Inter" w:cs="Inter" w:eastAsia="Inter" w:hAnsi="Inter"/>
                <w:color w:val="1F2937"/>
                <w:sz w:val="20"/>
                <w:szCs w:val="20"/>
              </w:rPr>
              <w:t xml:space="preserve">This policy is reviewed against energy management performance at least at every management review, and is kept up to date. It is displayed in a conspicuous part of the premises, visible to all staff and employees.</w:t>
            </w:r>
          </w:p>
          <w:p>
            <w:pPr>
              <w:spacing w:after="40"/>
              <w:jc w:val="both"/>
            </w:pPr>
            <w:r>
              <w:rPr>
                <w:rFonts w:ascii="Inter" w:cs="Inter" w:eastAsia="Inter" w:hAnsi="Inter"/>
                <w:color w:val="1F2937"/>
                <w:sz w:val="20"/>
                <w:szCs w:val="20"/>
              </w:rPr>
              <w:t xml:space="preserve"> </w:t>
            </w:r>
          </w:p>
          <w:tbl>
            <w:tblPr>
              <w:tblW w:type="dxa" w:w="9480"/>
              <w:tblBorders>
                <w:top w:val="single" w:color="E5E7EB" w:sz="4"/>
                <w:left w:val="single" w:color="E5E7EB" w:sz="4"/>
                <w:bottom w:val="single" w:color="E5E7EB" w:sz="4"/>
                <w:right w:val="single" w:color="E5E7EB" w:sz="4"/>
                <w:insideH w:val="single" w:color="E5E7EB" w:sz="4"/>
                <w:insideV w:val="single" w:color="E5E7EB" w:sz="4"/>
              </w:tblBorders>
            </w:tblPr>
            <w:tblGrid>
              <w:gridCol w:w="1600"/>
              <w:gridCol w:w="3040"/>
              <w:gridCol w:w="1800"/>
              <w:gridCol w:w="3040"/>
            </w:tblGrid>
            <w:tr>
              <w:trPr>
                <w:cantSplit/>
              </w:trPr>
              <w:tc>
                <w:tcPr>
                  <w:tcW w:type="dxa" w:w="16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Signature:</w:t>
                  </w:r>
                </w:p>
              </w:tc>
              <w:tc>
                <w:tcPr>
                  <w:tcW w:type="dxa" w:w="30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18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Effective date:</w:t>
                  </w:r>
                </w:p>
              </w:tc>
              <w:tc>
                <w:tcPr>
                  <w:tcW w:type="dxa" w:w="30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16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Name:</w:t>
                  </w:r>
                </w:p>
              </w:tc>
              <w:tc>
                <w:tcPr>
                  <w:tcW w:type="dxa" w:w="30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18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Originally issued:</w:t>
                  </w:r>
                </w:p>
              </w:tc>
              <w:tc>
                <w:tcPr>
                  <w:tcW w:type="dxa" w:w="30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16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Designation:</w:t>
                  </w:r>
                </w:p>
              </w:tc>
              <w:tc>
                <w:tcPr>
                  <w:tcW w:type="dxa" w:w="30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18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Last reviewed:</w:t>
                  </w:r>
                </w:p>
              </w:tc>
              <w:tc>
                <w:tcPr>
                  <w:tcW w:type="dxa" w:w="30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bl>
          <w:p/>
        </w:tc>
      </w:tr>
    </w:tbl>
    <w:p>
      <w:r>
        <w:br w:type="page"/>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4</w:t>
      </w:r>
      <w:r>
        <w:rPr>
          <w:rFonts w:ascii="Poppins" w:cs="Poppins" w:eastAsia="Poppins" w:hAnsi="Poppins"/>
          <w:sz w:val="30"/>
          <w:szCs w:val="30"/>
        </w:rPr>
        <w:tab/>
      </w:r>
      <w:r>
        <w:rPr>
          <w:rFonts w:ascii="Poppins" w:cs="Poppins" w:eastAsia="Poppins" w:hAnsi="Poppins"/>
          <w:b/>
          <w:bCs/>
          <w:color w:val="111827"/>
          <w:sz w:val="30"/>
          <w:szCs w:val="30"/>
        </w:rPr>
        <w:t xml:space="preserve">Variant B — Building / commercial sector</w:t>
      </w:r>
    </w:p>
    <w:p>
      <w:pPr>
        <w:keepNext/>
        <w:keepLines/>
        <w:spacing w:after="60" w:before="200"/>
      </w:pPr>
      <w:r>
        <w:rPr>
          <w:rFonts w:ascii="Poppins" w:cs="Poppins" w:eastAsia="Poppins" w:hAnsi="Poppins"/>
          <w:b/>
          <w:bCs/>
          <w:color w:val="111827"/>
          <w:sz w:val="28"/>
          <w:szCs w:val="28"/>
        </w:rPr>
        <w:t xml:space="preserve"/>
      </w:r>
    </w:p>
    <w:p>
      <w:pPr>
        <w:keepNext/>
        <w:spacing w:after="160"/>
        <w:jc w:val="left"/>
      </w:pPr>
      <w:r>
        <w:rPr>
          <w:rFonts w:ascii="Inter" w:cs="Inter" w:eastAsia="Inter" w:hAnsi="Inter"/>
          <w:i/>
          <w:iCs/>
          <w:color w:val="6B7280"/>
          <w:sz w:val="18"/>
          <w:szCs w:val="18"/>
        </w:rPr>
        <w:t xml:space="preserve">For offices, malls, hotels, hospitals, campuses and other buildings. Adapt every field.</w:t>
      </w:r>
    </w:p>
    <w:tbl>
      <w:tblPr>
        <w:tblW w:type="dxa" w:w="9746"/>
        <w:tblBorders>
          <w:top w:val="single" w:color="E5E7EB" w:sz="4"/>
          <w:left w:val="single" w:color="38B0F8" w:sz="24"/>
          <w:bottom w:val="single" w:color="E5E7EB" w:sz="4"/>
          <w:right w:val="single" w:color="E5E7EB" w:sz="4"/>
          <w:insideH w:val="none"/>
          <w:insideV w:val="none"/>
        </w:tblBorders>
      </w:tblPr>
      <w:tblGrid>
        <w:gridCol w:w="9746"/>
      </w:tblGrid>
      <w:tr>
        <w:trPr>
          <w:cantSplit/>
        </w:trPr>
        <w:tc>
          <w:tcPr>
            <w:tcW w:type="dxa" w:w="9746"/>
            <w:shd w:fill="F9FAFB" w:val="clear"/>
            <w:tcMar>
              <w:top w:type="dxa" w:w="140"/>
              <w:left w:type="dxa" w:w="200"/>
              <w:bottom w:type="dxa" w:w="140"/>
              <w:right w:type="dxa" w:w="200"/>
            </w:tcMar>
          </w:tcPr>
          <w:p>
            <w:pPr>
              <w:spacing w:after="60"/>
              <w:jc w:val="both"/>
            </w:pPr>
            <w:r>
              <w:rPr>
                <w:rFonts w:ascii="Inter" w:cs="Inter" w:eastAsia="Inter" w:hAnsi="Inter"/>
                <w:b/>
                <w:bCs/>
                <w:color w:val="111827"/>
                <w:sz w:val="22"/>
                <w:szCs w:val="22"/>
              </w:rPr>
              <w:t xml:space="preserve">ENERGY MANAGEMENT POLICY</w:t>
            </w:r>
          </w:p>
          <w:p>
            <w:pPr>
              <w:spacing w:after="140"/>
              <w:jc w:val="both"/>
            </w:pPr>
            <w:r>
              <w:rPr>
                <w:rFonts w:ascii="Inter" w:cs="Inter" w:eastAsia="Inter" w:hAnsi="Inter"/>
                <w:b/>
                <w:bCs/>
                <w:color w:val="1F2937"/>
                <w:sz w:val="19"/>
                <w:szCs w:val="19"/>
              </w:rPr>
              <w:t xml:space="preserve">[Company name] </w:t>
            </w:r>
            <w:r>
              <w:rPr>
                <w:rFonts w:ascii="Inter" w:cs="Inter" w:eastAsia="Inter" w:hAnsi="Inter"/>
                <w:color w:val="4B5563"/>
                <w:sz w:val="19"/>
                <w:szCs w:val="19"/>
              </w:rPr>
              <w:t xml:space="preserve">([Company registration number])</w:t>
            </w:r>
          </w:p>
          <w:p>
            <w:pPr>
              <w:spacing w:after="140" w:line="300"/>
              <w:jc w:val="both"/>
            </w:pPr>
            <w:r>
              <w:rPr>
                <w:rFonts w:ascii="Inter" w:cs="Inter" w:eastAsia="Inter" w:hAnsi="Inter"/>
                <w:b/>
                <w:bCs/>
                <w:color w:val="111827"/>
                <w:sz w:val="20"/>
                <w:szCs w:val="20"/>
              </w:rPr>
              <w:t xml:space="preserve">Scope. </w:t>
            </w:r>
            <w:r>
              <w:rPr>
                <w:rFonts w:ascii="Inter" w:cs="Inter" w:eastAsia="Inter" w:hAnsi="Inter"/>
                <w:color w:val="1F2937"/>
                <w:sz w:val="20"/>
                <w:szCs w:val="20"/>
              </w:rPr>
              <w:t xml:space="preserve">This policy applies to all facilities, operations and personnel of [Company name] within the energy management system boundary, which covers the whole of the company’s facilities at [site address(es)].</w:t>
            </w:r>
          </w:p>
          <w:p>
            <w:pPr>
              <w:spacing w:after="140" w:line="300"/>
              <w:jc w:val="both"/>
            </w:pPr>
            <w:r>
              <w:rPr>
                <w:rFonts w:ascii="Inter" w:cs="Inter" w:eastAsia="Inter" w:hAnsi="Inter"/>
                <w:b/>
                <w:bCs/>
                <w:color w:val="111827"/>
                <w:sz w:val="20"/>
                <w:szCs w:val="20"/>
              </w:rPr>
              <w:t xml:space="preserve">Commitment. </w:t>
            </w:r>
            <w:r>
              <w:rPr>
                <w:rFonts w:ascii="Inter" w:cs="Inter" w:eastAsia="Inter" w:hAnsi="Inter"/>
                <w:color w:val="1F2937"/>
                <w:sz w:val="20"/>
                <w:szCs w:val="20"/>
              </w:rPr>
              <w:t xml:space="preserve">[Company name] recognises energy as a managed resource and a regulated obligation under the Energy Efficiency and Conservation Act 2024 [Act 861]. The management and all employees commit to:</w:t>
            </w:r>
          </w:p>
          <w:p>
            <w:pPr>
              <w:pStyle w:val="ListParagraph"/>
              <w:numPr>
                <w:ilvl w:val="0"/>
                <w:numId w:val="2"/>
              </w:numPr>
              <w:spacing w:after="90" w:line="290"/>
              <w:jc w:val="both"/>
            </w:pPr>
            <w:r>
              <w:rPr>
                <w:rFonts w:ascii="Inter" w:cs="Inter" w:eastAsia="Inter" w:hAnsi="Inter"/>
                <w:color w:val="1F2937"/>
                <w:sz w:val="19"/>
                <w:szCs w:val="19"/>
              </w:rPr>
              <w:t xml:space="preserve">Improve the energy performance of the building continually, through a documented action plan that sets objectives and targets against our Building Energy Intensity and pursues energy saving measures across chiller plant, air-conditioning and mechanical ventilation, lighting, lifts and other building systems.</w:t>
            </w:r>
          </w:p>
          <w:p>
            <w:pPr>
              <w:pStyle w:val="ListParagraph"/>
              <w:numPr>
                <w:ilvl w:val="0"/>
                <w:numId w:val="2"/>
              </w:numPr>
              <w:spacing w:after="90" w:line="290"/>
              <w:jc w:val="both"/>
            </w:pPr>
            <w:r>
              <w:rPr>
                <w:rFonts w:ascii="Inter" w:cs="Inter" w:eastAsia="Inter" w:hAnsi="Inter"/>
                <w:color w:val="1F2937"/>
                <w:sz w:val="19"/>
                <w:szCs w:val="19"/>
              </w:rPr>
              <w:t xml:space="preserve">Provide the information, data and resources — human, technical and financial — required to implement the action plan and to sustain the energy management system.</w:t>
            </w:r>
          </w:p>
          <w:p>
            <w:pPr>
              <w:pStyle w:val="ListParagraph"/>
              <w:numPr>
                <w:ilvl w:val="0"/>
                <w:numId w:val="2"/>
              </w:numPr>
              <w:spacing w:after="90" w:line="290"/>
              <w:jc w:val="both"/>
            </w:pPr>
            <w:r>
              <w:rPr>
                <w:rFonts w:ascii="Inter" w:cs="Inter" w:eastAsia="Inter" w:hAnsi="Inter"/>
                <w:color w:val="1F2937"/>
                <w:sz w:val="19"/>
                <w:szCs w:val="19"/>
              </w:rPr>
              <w:t xml:space="preserve">Comply with the Energy Efficiency and Conservation Act 2024, its regulations and guidelines, and any other written law applicable to our use of energy.</w:t>
            </w:r>
          </w:p>
          <w:p>
            <w:pPr>
              <w:pStyle w:val="ListParagraph"/>
              <w:numPr>
                <w:ilvl w:val="0"/>
                <w:numId w:val="2"/>
              </w:numPr>
              <w:spacing w:after="90" w:line="290"/>
              <w:jc w:val="both"/>
            </w:pPr>
            <w:r>
              <w:rPr>
                <w:rFonts w:ascii="Inter" w:cs="Inter" w:eastAsia="Inter" w:hAnsi="Inter"/>
                <w:color w:val="1F2937"/>
                <w:sz w:val="19"/>
                <w:szCs w:val="19"/>
              </w:rPr>
              <w:t xml:space="preserve">Support the purchase and use of energy-efficient products, equipment and services in fit-outs, retrofits and renovations, and engage tenants and occupants in the efficient use of the building, where economically feasible.</w:t>
            </w:r>
          </w:p>
          <w:p>
            <w:pPr>
              <w:pStyle w:val="ListParagraph"/>
              <w:numPr>
                <w:ilvl w:val="0"/>
                <w:numId w:val="2"/>
              </w:numPr>
              <w:spacing w:after="90" w:line="290"/>
              <w:jc w:val="both"/>
            </w:pPr>
            <w:r>
              <w:rPr>
                <w:rFonts w:ascii="Inter" w:cs="Inter" w:eastAsia="Inter" w:hAnsi="Inter"/>
                <w:color w:val="1F2937"/>
                <w:sz w:val="19"/>
                <w:szCs w:val="19"/>
              </w:rPr>
              <w:t xml:space="preserve">Measure and verify the results of energy saving measures, and report energy performance honestly — internally to management, staff and tenants, and externally as required by Suruhanjaya Tenaga.</w:t>
            </w:r>
          </w:p>
          <w:p>
            <w:pPr>
              <w:spacing w:before="100"/>
              <w:jc w:val="both"/>
            </w:pPr>
            <w:r>
              <w:rPr>
                <w:rFonts w:ascii="Inter" w:cs="Inter" w:eastAsia="Inter" w:hAnsi="Inter"/>
                <w:b/>
                <w:bCs/>
                <w:color w:val="111827"/>
                <w:sz w:val="20"/>
                <w:szCs w:val="20"/>
              </w:rPr>
              <w:t xml:space="preserve">Governance. </w:t>
            </w:r>
            <w:r>
              <w:rPr>
                <w:rFonts w:ascii="Inter" w:cs="Inter" w:eastAsia="Inter" w:hAnsi="Inter"/>
                <w:color w:val="1F2937"/>
                <w:sz w:val="20"/>
                <w:szCs w:val="20"/>
              </w:rPr>
              <w:t xml:space="preserve">An Energy Management Committee, chaired by the management representative and supported by the registered energy manager, is responsible for implementing this policy through the energy management action plan, and reports its progress and results to top management.</w:t>
            </w:r>
          </w:p>
          <w:p>
            <w:pPr>
              <w:spacing w:after="140" w:line="300"/>
              <w:jc w:val="both"/>
            </w:pPr>
            <w:r>
              <w:rPr>
                <w:rFonts w:ascii="Inter" w:cs="Inter" w:eastAsia="Inter" w:hAnsi="Inter"/>
                <w:b/>
                <w:bCs/>
                <w:color w:val="111827"/>
                <w:sz w:val="20"/>
                <w:szCs w:val="20"/>
              </w:rPr>
              <w:t xml:space="preserve">Review. </w:t>
            </w:r>
            <w:r>
              <w:rPr>
                <w:rFonts w:ascii="Inter" w:cs="Inter" w:eastAsia="Inter" w:hAnsi="Inter"/>
                <w:color w:val="1F2937"/>
                <w:sz w:val="20"/>
                <w:szCs w:val="20"/>
              </w:rPr>
              <w:t xml:space="preserve">This policy is reviewed against energy management performance at least at every management review, and is kept up to date. It is displayed in a conspicuous part of the premises, visible to all staff and employees.</w:t>
            </w:r>
          </w:p>
          <w:p>
            <w:pPr>
              <w:spacing w:after="40"/>
              <w:jc w:val="both"/>
            </w:pPr>
            <w:r>
              <w:rPr>
                <w:rFonts w:ascii="Inter" w:cs="Inter" w:eastAsia="Inter" w:hAnsi="Inter"/>
                <w:color w:val="1F2937"/>
                <w:sz w:val="20"/>
                <w:szCs w:val="20"/>
              </w:rPr>
              <w:t xml:space="preserve"> </w:t>
            </w:r>
          </w:p>
          <w:tbl>
            <w:tblPr>
              <w:tblW w:type="dxa" w:w="9480"/>
              <w:tblBorders>
                <w:top w:val="single" w:color="E5E7EB" w:sz="4"/>
                <w:left w:val="single" w:color="E5E7EB" w:sz="4"/>
                <w:bottom w:val="single" w:color="E5E7EB" w:sz="4"/>
                <w:right w:val="single" w:color="E5E7EB" w:sz="4"/>
                <w:insideH w:val="single" w:color="E5E7EB" w:sz="4"/>
                <w:insideV w:val="single" w:color="E5E7EB" w:sz="4"/>
              </w:tblBorders>
            </w:tblPr>
            <w:tblGrid>
              <w:gridCol w:w="1600"/>
              <w:gridCol w:w="3040"/>
              <w:gridCol w:w="1800"/>
              <w:gridCol w:w="3040"/>
            </w:tblGrid>
            <w:tr>
              <w:trPr>
                <w:cantSplit/>
              </w:trPr>
              <w:tc>
                <w:tcPr>
                  <w:tcW w:type="dxa" w:w="16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Signature:</w:t>
                  </w:r>
                </w:p>
              </w:tc>
              <w:tc>
                <w:tcPr>
                  <w:tcW w:type="dxa" w:w="30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18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Effective date:</w:t>
                  </w:r>
                </w:p>
              </w:tc>
              <w:tc>
                <w:tcPr>
                  <w:tcW w:type="dxa" w:w="30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16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Name:</w:t>
                  </w:r>
                </w:p>
              </w:tc>
              <w:tc>
                <w:tcPr>
                  <w:tcW w:type="dxa" w:w="30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18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Originally issued:</w:t>
                  </w:r>
                </w:p>
              </w:tc>
              <w:tc>
                <w:tcPr>
                  <w:tcW w:type="dxa" w:w="30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r>
              <w:trPr>
                <w:cantSplit/>
              </w:trPr>
              <w:tc>
                <w:tcPr>
                  <w:tcW w:type="dxa" w:w="16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Designation:</w:t>
                  </w:r>
                </w:p>
              </w:tc>
              <w:tc>
                <w:tcPr>
                  <w:tcW w:type="dxa" w:w="30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c>
                <w:tcPr>
                  <w:tcW w:type="dxa" w:w="18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Last reviewed:</w:t>
                  </w:r>
                </w:p>
              </w:tc>
              <w:tc>
                <w:tcPr>
                  <w:tcW w:type="dxa" w:w="304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
                  </w:r>
                </w:p>
              </w:tc>
            </w:tr>
          </w:tbl>
          <w:p/>
        </w:tc>
      </w:tr>
    </w:tbl>
    <w:p>
      <w:r>
        <w:br w:type="page"/>
      </w:r>
    </w:p>
    <w:p>
      <w:pPr>
        <w:keepNext/>
        <w:keepLines/>
        <w:pBdr>
          <w:bottom w:val="single" w:color="38B0F8" w:sz="12" w:space="4"/>
        </w:pBdr>
        <w:tabs>
          <w:tab w:val="left" w:pos="460"/>
        </w:tabs>
        <w:spacing w:after="180" w:before="320"/>
        <w:ind w:left="460" w:hanging="460"/>
      </w:pPr>
      <w:r>
        <w:rPr>
          <w:rFonts w:ascii="Poppins" w:cs="Poppins" w:eastAsia="Poppins" w:hAnsi="Poppins"/>
          <w:b/>
          <w:bCs/>
          <w:color w:val="38B0F8"/>
          <w:sz w:val="30"/>
          <w:szCs w:val="30"/>
        </w:rPr>
        <w:t xml:space="preserve">5</w:t>
      </w:r>
      <w:r>
        <w:rPr>
          <w:rFonts w:ascii="Poppins" w:cs="Poppins" w:eastAsia="Poppins" w:hAnsi="Poppins"/>
          <w:sz w:val="30"/>
          <w:szCs w:val="30"/>
        </w:rPr>
        <w:tab/>
      </w:r>
      <w:r>
        <w:rPr>
          <w:rFonts w:ascii="Poppins" w:cs="Poppins" w:eastAsia="Poppins" w:hAnsi="Poppins"/>
          <w:b/>
          <w:bCs/>
          <w:color w:val="111827"/>
          <w:sz w:val="30"/>
          <w:szCs w:val="30"/>
        </w:rPr>
        <w:t xml:space="preserve">Next step</w:t>
      </w:r>
    </w:p>
    <w:p>
      <w:pPr>
        <w:spacing w:after="140" w:line="300"/>
        <w:jc w:val="both"/>
      </w:pPr>
      <w:r>
        <w:rPr>
          <w:rFonts w:ascii="Inter" w:cs="Inter" w:eastAsia="Inter" w:hAnsi="Inter"/>
          <w:color w:val="1F2937"/>
          <w:sz w:val="20"/>
          <w:szCs w:val="20"/>
        </w:rPr>
        <w:t xml:space="preserve">Once signed and displayed, record the policy in your obligations register (C4, rows for GP46 para. 4.4) and score S3 of the Gap Assessment Checklist (C1) again. Innovast can review your adapted policy at no charge before it goes to signature — </w:t>
      </w:r>
      <w:r>
        <w:rPr>
          <w:rFonts w:ascii="Inter" w:cs="Inter" w:eastAsia="Inter" w:hAnsi="Inter"/>
          <w:b/>
          <w:bCs/>
          <w:color w:val="1273AD"/>
          <w:sz w:val="20"/>
          <w:szCs w:val="20"/>
        </w:rPr>
        <w:t xml:space="preserve">anslem@innovast.asia</w:t>
      </w:r>
      <w:r>
        <w:rPr>
          <w:rFonts w:ascii="Inter" w:cs="Inter" w:eastAsia="Inter" w:hAnsi="Inter"/>
          <w:color w:val="1F2937"/>
          <w:sz w:val="20"/>
          <w:szCs w:val="20"/>
        </w:rPr>
        <w:t xml:space="preserve">.</w:t>
      </w:r>
    </w:p>
    <w:p>
      <w:r>
        <w:br w:type="page"/>
      </w:r>
    </w:p>
    <w:p>
      <w:pPr>
        <w:keepNext/>
        <w:keepLines/>
        <w:pBdr>
          <w:bottom w:val="single" w:color="38B0F8" w:sz="12" w:space="4"/>
        </w:pBdr>
        <w:tabs>
          <w:tab w:val="left" w:pos="460"/>
        </w:tabs>
        <w:spacing w:after="180" w:before="320"/>
      </w:pPr>
      <w:r>
        <w:rPr>
          <w:rFonts w:ascii="Poppins" w:cs="Poppins" w:eastAsia="Poppins" w:hAnsi="Poppins"/>
          <w:b/>
          <w:bCs/>
          <w:color w:val="111827"/>
          <w:sz w:val="30"/>
          <w:szCs w:val="30"/>
        </w:rPr>
        <w:t xml:space="preserve">The complete Starter Pack</w:t>
      </w:r>
    </w:p>
    <w:p>
      <w:pPr>
        <w:spacing w:after="140" w:line="300"/>
        <w:jc w:val="both"/>
      </w:pPr>
      <w:r>
        <w:rPr>
          <w:rFonts w:ascii="Inter" w:cs="Inter" w:eastAsia="Inter" w:hAnsi="Inter"/>
          <w:color w:val="1F2937"/>
          <w:sz w:val="20"/>
          <w:szCs w:val="20"/>
        </w:rPr>
        <w:t xml:space="preserve">This document is one of thirteen working documents in the EECA 2024 EnMS Starter Pack — together they stand up an energy management system that follows GP/ST/No.46/2024 and the statutory duties of Act 861.</w:t>
      </w:r>
    </w:p>
    <w:tbl>
      <w:tblPr>
        <w:tblW w:type="dxa" w:w="9746"/>
        <w:tblBorders>
          <w:top w:val="single" w:color="E5E7EB" w:sz="4"/>
          <w:left w:val="single" w:color="E5E7EB" w:sz="4"/>
          <w:bottom w:val="single" w:color="E5E7EB" w:sz="4"/>
          <w:right w:val="single" w:color="E5E7EB" w:sz="4"/>
          <w:insideH w:val="single" w:color="E5E7EB" w:sz="4"/>
          <w:insideV w:val="single" w:color="E5E7EB" w:sz="4"/>
        </w:tblBorders>
      </w:tblPr>
      <w:tblGrid>
        <w:gridCol w:w="700"/>
        <w:gridCol w:w="3300"/>
        <w:gridCol w:w="5746"/>
      </w:tblGrid>
      <w:tr>
        <w:trPr>
          <w:cantSplit/>
          <w:tblHeader/>
        </w:trPr>
        <w:tc>
          <w:tcPr>
            <w:tcW w:type="dxa" w:w="7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Code</w:t>
            </w:r>
          </w:p>
        </w:tc>
        <w:tc>
          <w:tcPr>
            <w:tcW w:type="dxa" w:w="3300"/>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Document</w:t>
            </w:r>
          </w:p>
        </w:tc>
        <w:tc>
          <w:tcPr>
            <w:tcW w:type="dxa" w:w="5746"/>
            <w:tcBorders>
              <w:bottom w:val="single" w:color="38B0F8" w:sz="8"/>
            </w:tcBorders>
            <w:shd w:fill="F9FAFB" w:val="clear"/>
            <w:tcMar>
              <w:top w:type="dxa" w:w="70"/>
              <w:left w:type="dxa" w:w="100"/>
              <w:bottom w:type="dxa" w:w="70"/>
              <w:right w:type="dxa" w:w="100"/>
            </w:tcMar>
            <w:vAlign w:val="top"/>
          </w:tcPr>
          <w:p>
            <w:pPr>
              <w:spacing w:after="0" w:line="260"/>
            </w:pPr>
            <w:r>
              <w:rPr>
                <w:rFonts w:ascii="Inter" w:cs="Inter" w:eastAsia="Inter" w:hAnsi="Inter"/>
                <w:b/>
                <w:bCs/>
                <w:color w:val="111827"/>
                <w:sz w:val="18"/>
                <w:szCs w:val="18"/>
              </w:rPr>
              <w:t xml:space="preserve">Use it to</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C0</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Pack Guide &amp; Compliance Clock</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Orient the team; diarise the statutory deadlines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EECA EnMS Gap Assessment Checklist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Score your current position (Yes / Partial / No) against every GP46 element and statutory duty; get a readiness band</w:t>
            </w:r>
          </w:p>
        </w:tc>
      </w:tr>
      <w:tr>
        <w:trPr>
          <w:cantSplit/>
        </w:trPr>
        <w:tc>
          <w:tcPr>
            <w:tcW w:type="dxa" w:w="700"/>
            <w:shd w:fill="EAF6FE" w:val="clear"/>
            <w:tcMar>
              <w:top w:type="dxa" w:w="70"/>
              <w:left w:type="dxa" w:w="100"/>
              <w:bottom w:type="dxa" w:w="70"/>
              <w:right w:type="dxa" w:w="100"/>
            </w:tcMar>
            <w:vAlign w:val="top"/>
          </w:tcPr>
          <w:p>
            <w:pPr>
              <w:spacing w:after="0" w:line="260"/>
            </w:pPr>
            <w:r>
              <w:rPr>
                <w:rFonts w:ascii="Inter" w:cs="Inter" w:eastAsia="Inter" w:hAnsi="Inter"/>
                <w:b/>
                <w:bCs/>
                <w:color w:val="1273AD"/>
                <w:sz w:val="18"/>
                <w:szCs w:val="18"/>
              </w:rPr>
              <w:t xml:space="preserve">C2</w:t>
            </w:r>
          </w:p>
        </w:tc>
        <w:tc>
          <w:tcPr>
            <w:tcW w:type="dxa" w:w="3300"/>
            <w:shd w:fill="EAF6FE" w:val="clear"/>
            <w:tcMar>
              <w:top w:type="dxa" w:w="70"/>
              <w:left w:type="dxa" w:w="100"/>
              <w:bottom w:type="dxa" w:w="70"/>
              <w:right w:type="dxa" w:w="100"/>
            </w:tcMar>
            <w:vAlign w:val="top"/>
          </w:tcPr>
          <w:p>
            <w:pPr>
              <w:spacing w:after="0" w:line="260"/>
            </w:pPr>
            <w:r>
              <w:rPr>
                <w:rFonts w:ascii="Inter" w:cs="Inter" w:eastAsia="Inter" w:hAnsi="Inter"/>
                <w:b/>
                <w:bCs/>
                <w:color w:val="1F2937"/>
                <w:sz w:val="18"/>
                <w:szCs w:val="18"/>
              </w:rPr>
              <w:t xml:space="preserve">Energy Management Policy Template</w:t>
            </w:r>
          </w:p>
        </w:tc>
        <w:tc>
          <w:tcPr>
            <w:tcW w:type="dxa" w:w="5746"/>
            <w:shd w:fill="EAF6FE" w:val="clear"/>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Draft the policy with the four GP46-mandatory commitments built in  </w:t>
            </w:r>
            <w:r>
              <w:rPr>
                <w:rFonts w:ascii="Inter" w:cs="Inter" w:eastAsia="Inter" w:hAnsi="Inter"/>
                <w:b/>
                <w:bCs/>
                <w:color w:val="1273AD"/>
                <w:sz w:val="16"/>
                <w:szCs w:val="16"/>
              </w:rPr>
              <w:t xml:space="preserve">(this document)</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C3</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Committee &amp; Governance Kit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Appoint the management representative; constitute the Committee; run and minute the meetings and the annual management review</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C4</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Legal &amp; Obligations Register</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Hold every Act 861 / EECR duty with citation, deadline, penalty, owner and status — the legal-compliance evaluation GP46 para. 8.2(g) expects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C5</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REM Appointment Checklist</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Choose internal vs external appointment; respect the tiering and the caps; manage the three-year window</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C6</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EnPI / EEI Worksheet (sector-selectable)</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Establish the baseline and indicator — SEC path for industry, BEI path for buildings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C7</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Energy Data Collection Plan + 12-Month Consumption Tracker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Plan and record the twelve months of consumption, generation and variable data GP46 requires</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C8</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Action Plan &amp; ESM Register (docx +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Turn audit findings into a prioritised, costed, owned action plan with M&amp;V per ESM</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C9</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Communication, Awareness &amp; Training Plan</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Discharge GP46 para. 7.7–7.9 — communication matrix, motivation strategy, training programme</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C10</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EnMS Self-Evaluation Matrix (xlsx)</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Run the GP46 para. 5.2.3(a) maturity self-evaluation at Committee formation and periodically after</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C11</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Work Procedure &amp; Log Sheet Starters</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Seed the operational controls — chiller plant and lighting examples to adapt</w:t>
            </w:r>
          </w:p>
        </w:tc>
      </w:tr>
      <w:tr>
        <w:trPr>
          <w:cantSplit/>
        </w:trPr>
        <w:tc>
          <w:tcPr>
            <w:tcW w:type="dxa" w:w="7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C12</w:t>
            </w:r>
          </w:p>
        </w:tc>
        <w:tc>
          <w:tcPr>
            <w:tcW w:type="dxa" w:w="3300"/>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EE&amp;C Report Skeleton</w:t>
            </w:r>
          </w:p>
        </w:tc>
        <w:tc>
          <w:tcPr>
            <w:tcW w:type="dxa" w:w="5746"/>
            <w:tcMar>
              <w:top w:type="dxa" w:w="70"/>
              <w:left w:type="dxa" w:w="100"/>
              <w:bottom w:type="dxa" w:w="70"/>
              <w:right w:type="dxa" w:w="100"/>
            </w:tcMar>
            <w:vAlign w:val="top"/>
          </w:tcPr>
          <w:p>
            <w:pPr>
              <w:spacing w:after="0" w:line="260"/>
            </w:pPr>
            <w:r>
              <w:rPr>
                <w:rFonts w:ascii="Inter" w:cs="Inter" w:eastAsia="Inter" w:hAnsi="Inter"/>
                <w:color w:val="1F2937"/>
                <w:sz w:val="18"/>
                <w:szCs w:val="18"/>
              </w:rPr>
              <w:t xml:space="preserve">Assemble the annual report content in the GP45 structure before entering it in the Commission’s online system</w:t>
            </w:r>
          </w:p>
        </w:tc>
      </w:tr>
    </w:tbl>
    <w:p>
      <w:pPr>
        <w:spacing w:after="0" w:before="160"/>
        <w:jc w:val="left"/>
      </w:pPr>
      <w:r>
        <w:rPr>
          <w:rFonts w:ascii="Inter" w:cs="Inter" w:eastAsia="Inter" w:hAnsi="Inter"/>
          <w:b/>
          <w:bCs/>
          <w:color w:val="1F2937"/>
          <w:sz w:val="20"/>
          <w:szCs w:val="20"/>
        </w:rPr>
        <w:t xml:space="preserve">Get the complete pack, free:  </w:t>
      </w:r>
      <w:r>
        <w:rPr>
          <w:rFonts w:ascii="Inter" w:cs="Inter" w:eastAsia="Inter" w:hAnsi="Inter"/>
          <w:b/>
          <w:bCs/>
          <w:color w:val="1273AD"/>
          <w:sz w:val="20"/>
          <w:szCs w:val="20"/>
        </w:rPr>
        <w:t xml:space="preserve">eeca2024.my/enms-pack</w:t>
      </w:r>
      <w:r>
        <w:rPr>
          <w:rFonts w:ascii="Inter" w:cs="Inter" w:eastAsia="Inter" w:hAnsi="Inter"/>
          <w:color w:val="4B5563"/>
          <w:sz w:val="19"/>
          <w:szCs w:val="19"/>
        </w:rPr>
        <w:t xml:space="preserve">   ·   anslem@innovast.asia   ·   +60 12 355 6214</w:t>
      </w:r>
    </w:p>
    <w:sectPr>
      <w:headerReference w:type="default" r:id="rId7"/>
      <w:headerReference w:type="first" r:id="rId8"/>
      <w:footerReference w:type="default" r:id="rId9"/>
      <w:footerReference w:type="first" r:id="rId10"/>
      <w:pgSz w:w="11906" w:h="16838"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swiss"/>
    <w:pitch w:val="variable"/>
    <w:embedRegular r:id="rIdFont1" w:fontKey="{3F6B320F-6D2F-4544-9CBC-888BD0F52442}"/>
    <w:embedBold r:id="rIdFont2" w:fontKey="{B85B6E19-D368-413E-AF55-F35F8A98917A}"/>
  </w:font>
  <w:font w:name="Inter">
    <w:charset w:val="00"/>
    <w:family w:val="swiss"/>
    <w:pitch w:val="variable"/>
    <w:embedRegular r:id="rIdFont3" w:fontKey="{E50089ED-3B71-4D56-848D-76459C1A29E4}"/>
    <w:embedBold r:id="rIdFont4" w:fontKey="{15208C2C-6E9D-4D80-87E5-B74DBECA757C}"/>
    <w:embedItalic r:id="rIdFont5" w:fontKey="{03A9E1AE-C020-4865-BF38-2836C43921D1}"/>
    <w:embedBoldItalic r:id="rIdFont6" w:fontKey="{8CA044A9-70AD-4972-8E88-080521FCE71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3"/>
      </w:pBdr>
      <w:tabs>
        <w:tab w:val="right" w:pos="9746"/>
      </w:tabs>
      <w:spacing w:after="20"/>
    </w:pPr>
    <w:r>
      <w:rPr>
        <w:rFonts w:ascii="Inter" w:cs="Inter" w:eastAsia="Inter" w:hAnsi="Inter"/>
        <w:color w:val="6B7280"/>
        <w:sz w:val="15"/>
        <w:szCs w:val="15"/>
      </w:rPr>
      <w:t xml:space="preserve">INV-ENMS-C2 · Rev 1.0 · Draft for adaptation</w:t>
    </w:r>
    <w:r>
      <w:rPr>
        <w:rFonts w:ascii="Inter" w:cs="Inter" w:eastAsia="Inter" w:hAnsi="Inter"/>
        <w:sz w:val="15"/>
        <w:szCs w:val="15"/>
      </w:rPr>
      <w:t xml:space="preserve">	</w:t>
    </w:r>
    <w:r>
      <w:rPr>
        <w:rFonts w:ascii="Inter" w:cs="Inter" w:eastAsia="Inter" w:hAnsi="Inter"/>
        <w:color w:val="6B7280"/>
        <w:sz w:val="15"/>
        <w:szCs w:val="15"/>
      </w:rPr>
      <w:t xml:space="preserve">Page </w:t>
    </w:r>
    <w:r>
      <w:rPr>
        <w:rFonts w:ascii="Inter" w:cs="Inter" w:eastAsia="Inter" w:hAnsi="Inter"/>
        <w:color w:val="6B7280"/>
        <w:sz w:val="15"/>
        <w:szCs w:val="15"/>
      </w:rPr>
      <w:fldChar w:fldCharType="begin"/>
      <w:instrText xml:space="preserve">PAGE</w:instrText>
      <w:fldChar w:fldCharType="separate"/>
      <w:fldChar w:fldCharType="end"/>
    </w:r>
    <w:r>
      <w:rPr>
        <w:rFonts w:ascii="Inter" w:cs="Inter" w:eastAsia="Inter" w:hAnsi="Inter"/>
        <w:color w:val="6B7280"/>
        <w:sz w:val="15"/>
        <w:szCs w:val="15"/>
      </w:rPr>
      <w:t xml:space="preserve"> of </w:t>
    </w:r>
    <w:r>
      <w:rPr>
        <w:rFonts w:ascii="Inter" w:cs="Inter" w:eastAsia="Inter" w:hAnsi="Inter"/>
        <w:color w:val="6B7280"/>
        <w:sz w:val="15"/>
        <w:szCs w:val="15"/>
      </w:rPr>
      <w:fldChar w:fldCharType="begin"/>
      <w:instrText xml:space="preserve">NUMPAGES</w:instrText>
      <w:fldChar w:fldCharType="separate"/>
      <w:fldChar w:fldCharType="end"/>
    </w:r>
  </w:p>
  <w:p>
    <w:pPr>
      <w:jc w:val="center"/>
    </w:pPr>
    <w:r>
      <w:rPr>
        <w:rFonts w:ascii="Inter" w:cs="Inter" w:eastAsia="Inter" w:hAnsi="Inter"/>
        <w:color w:val="6B7280"/>
        <w:sz w:val="15"/>
        <w:szCs w:val="15"/>
      </w:rPr>
      <w:t xml:space="preserve">Innovast Sdn Bhd · Licensed ESCO · Registered with Suruhanjaya Tenaga (Energy Commission Malaysia)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4" w:space="6"/>
      </w:pBdr>
      <w:spacing w:after="40"/>
    </w:pPr>
    <w:r>
      <w:rPr>
        <w:rFonts w:ascii="Poppins" w:cs="Poppins" w:eastAsia="Poppins" w:hAnsi="Poppins"/>
        <w:b/>
        <w:bCs/>
        <w:color w:val="111827"/>
        <w:sz w:val="21"/>
        <w:szCs w:val="21"/>
      </w:rPr>
      <w:t xml:space="preserve">Innovast Sdn Bhd</w:t>
    </w:r>
  </w:p>
  <w:p>
    <w:pPr>
      <w:spacing w:after="20"/>
    </w:pPr>
    <w:r>
      <w:rPr>
        <w:rFonts w:ascii="Inter" w:cs="Inter" w:eastAsia="Inter" w:hAnsi="Inter"/>
        <w:color w:val="4B5563"/>
        <w:sz w:val="18"/>
        <w:szCs w:val="18"/>
      </w:rPr>
      <w:t xml:space="preserve">Licensed Energy Service Company (ESCO) · ESCO Reg. No. ESCO 327(2023)/76/2024</w:t>
    </w:r>
  </w:p>
  <w:p>
    <w:pPr>
      <w:spacing w:after="20"/>
    </w:pPr>
    <w:r>
      <w:rPr>
        <w:rFonts w:ascii="Inter" w:cs="Inter" w:eastAsia="Inter" w:hAnsi="Inter"/>
        <w:color w:val="4B5563"/>
        <w:sz w:val="18"/>
        <w:szCs w:val="18"/>
      </w:rPr>
      <w:t xml:space="preserve">Company Reg. No. 202201012221 (1457918-M) · Registered with Suruhanjaya Tenaga · SEDA Recognised</w:t>
    </w:r>
  </w:p>
  <w:p>
    <w:pPr>
      <w:spacing w:after="0"/>
    </w:pPr>
    <w:r>
      <w:rPr>
        <w:rFonts w:ascii="Inter" w:cs="Inter" w:eastAsia="Inter" w:hAnsi="Inter"/>
        <w:color w:val="1273AD"/>
        <w:sz w:val="18"/>
        <w:szCs w:val="18"/>
      </w:rPr>
      <w:t xml:space="preserve">www.innovast.asia · anslem@innovast.asia · +60 12 355 6214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4" w:space="3"/>
      </w:pBdr>
      <w:tabs>
        <w:tab w:val="right" w:pos="9746"/>
      </w:tabs>
    </w:pPr>
    <w:r>
      <w:drawing>
        <wp:inline distT="0" distB="0" distL="0" distR="0">
          <wp:extent cx="85725" cy="152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85725" cy="152400"/>
                  </a:xfrm>
                  <a:prstGeom prst="rect">
                    <a:avLst/>
                  </a:prstGeom>
                </pic:spPr>
              </pic:pic>
            </a:graphicData>
          </a:graphic>
        </wp:inline>
      </w:drawing>
    </w:r>
    <w:r>
      <w:rPr>
        <w:rFonts w:ascii="Poppins" w:cs="Poppins" w:eastAsia="Poppins" w:hAnsi="Poppins"/>
        <w:b/>
        <w:bCs/>
        <w:color w:val="6B7280"/>
        <w:sz w:val="16"/>
        <w:szCs w:val="16"/>
      </w:rPr>
      <w:t xml:space="preserve">  EECA 2024 EnMS Starter Pack</w:t>
    </w:r>
    <w:r>
      <w:rPr>
        <w:rFonts w:ascii="Inter" w:cs="Inter" w:eastAsia="Inter" w:hAnsi="Inter"/>
        <w:color w:val="6B7280"/>
        <w:sz w:val="16"/>
        <w:szCs w:val="16"/>
      </w:rPr>
      <w:t xml:space="preserve">	C2 · Energy Management Policy Template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lvl w:ilvl="1" w15:tentative="1">
      <w:start w:val="1"/>
      <w:numFmt w:val="bullet"/>
      <w:lvlText w:val="·"/>
      <w:lvlJc w:val="left"/>
      <w:pPr>
        <w:ind w:left="700" w:hanging="200"/>
      </w:pPr>
    </w:lvl>
  </w:abstractNum>
  <w:abstractNum w:abstractNumId="3" w15:restartNumberingAfterBreak="0">
    <w:multiLevelType w:val="hybridMultilevel"/>
    <w:lvl w:ilvl="0" w15:tentative="1">
      <w:start w:val="1"/>
      <w:numFmt w:val="decimal"/>
      <w:lvlText w:val="%1."/>
      <w:lvlJc w:val="left"/>
      <w:pPr>
        <w:ind w:left="4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mbedTrueTypeFonts/>
  <w:saveSubsetFont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F2937"/>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6a3225be243d0684e64ffa8d8cda75a3f659697e.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 standalone="yes"?><Relationships xmlns="http://schemas.openxmlformats.org/package/2006/relationships"><Relationship Id="rIdFont1" Type="http://schemas.openxmlformats.org/officeDocument/2006/relationships/font" Target="fonts/font1.odttf"/><Relationship Id="rIdFont2" Type="http://schemas.openxmlformats.org/officeDocument/2006/relationships/font" Target="fonts/font2.odttf"/><Relationship Id="rIdFont3" Type="http://schemas.openxmlformats.org/officeDocument/2006/relationships/font" Target="fonts/font3.odttf"/><Relationship Id="rIdFont4" Type="http://schemas.openxmlformats.org/officeDocument/2006/relationships/font" Target="fonts/font4.odttf"/><Relationship Id="rIdFont5" Type="http://schemas.openxmlformats.org/officeDocument/2006/relationships/font" Target="fonts/font5.odttf"/><Relationship Id="rIdFont6" Type="http://schemas.openxmlformats.org/officeDocument/2006/relationships/font" Target="fonts/font6.odttf"/></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f7d3d510dd56c0f342def237bd02c91681dac2a.png"/></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 · Energy Management Policy Template — EECA 2024 EnMS Starter Pack</dc:title>
  <dc:subject>EECA 2024 EnMS Starter Pack — draft EnMS documentation for Malaysian designated energy consumers (GP/ST/No.46/2024; Act 861; P.U.(A) 466/2024)</dc:subject>
  <dc:creator>Anslem Lim</dc:creator>
  <cp:keywords>EECA 2024, Act 861, EnMS, GP/ST/No.46/2024, energy management, Innovast, Suruhanjaya Tenaga</cp:keywords>
  <dc:description>Prepared by Innovast Sdn Bhd, Licensed ESCO (ESCO 327(2023)/76/2024). Draft for adaptation — adapt to your organisation before use; not regulatory advice.</dc:description>
  <cp:lastModifiedBy>Innovast Sdn Bhd</cp:lastModifiedBy>
  <cp:revision>1</cp:revision>
  <dcterms:created xsi:type="dcterms:W3CDTF">2026-07-29T04:16:47.751Z</dcterms:created>
  <dcterms:modified xsi:type="dcterms:W3CDTF">2026-07-29T04:16:47.751Z</dcterms:modified>
</cp:coreProperties>
</file>

<file path=docProps/custom.xml><?xml version="1.0" encoding="utf-8"?>
<Properties xmlns="http://schemas.openxmlformats.org/officeDocument/2006/custom-properties" xmlns:vt="http://schemas.openxmlformats.org/officeDocument/2006/docPropsVTypes"/>
</file>