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6"/>
        <w:gridCol w:w="1700"/>
      </w:tblGrid>
      <w:tr>
        <w:trPr>
          <w:cantSplit/>
          <w:trHeight w:val="80" w:hRule="exact"/>
        </w:trPr>
        <w:tc>
          <w:tcPr>
            <w:tcW w:type="dxa" w:w="8046"/>
            <w:tcBorders>
              <w:top w:val="none"/>
              <w:left w:val="none"/>
              <w:bottom w:val="none"/>
              <w:right w:val="none"/>
            </w:tcBorders>
            <w:shd w:fill="38B0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shd w:fill="F8904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line="40" w:lineRule="exact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320"/>
      </w:pPr>
      <w:r>
        <w:rPr>
          <w:sz w:val="2"/>
          <w:szCs w:val="2"/>
        </w:rPr>
        <w:t xml:space="preserve"/>
      </w:r>
    </w:p>
    <w:p>
      <w:pPr>
        <w:spacing w:after="420"/>
      </w:pPr>
      <w:r>
        <w:drawing>
          <wp:inline distT="0" distB="0" distL="0" distR="0">
            <wp:extent cx="1905000" cy="485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700"/>
      </w:pPr>
      <w:r>
        <w:rPr>
          <w:rFonts w:ascii="Poppins" w:cs="Poppins" w:eastAsia="Poppins" w:hAnsi="Poppins"/>
          <w:b/>
          <w:bCs/>
          <w:color w:val="F89048"/>
          <w:spacing w:val="20"/>
          <w:sz w:val="20"/>
          <w:szCs w:val="20"/>
        </w:rPr>
        <w:t xml:space="preserve">EECA 2024 EnMS STARTER PACK</w:t>
      </w:r>
    </w:p>
    <w:p>
      <w:pPr>
        <w:spacing w:after="100"/>
      </w:pPr>
      <w:r>
        <w:rPr>
          <w:rFonts w:ascii="Poppins" w:cs="Poppins" w:eastAsia="Poppins" w:hAnsi="Poppins"/>
          <w:b/>
          <w:bCs/>
          <w:color w:val="6B7280"/>
          <w:sz w:val="20"/>
          <w:szCs w:val="20"/>
        </w:rPr>
        <w:t xml:space="preserve">C1 · GAP ASSESSMENT</w:t>
      </w:r>
    </w:p>
    <w:p>
      <w:pPr>
        <w:spacing w:after="160"/>
      </w:pPr>
      <w:r>
        <w:rPr>
          <w:rFonts w:ascii="Poppins" w:cs="Poppins" w:eastAsia="Poppins" w:hAnsi="Poppins"/>
          <w:b/>
          <w:bCs/>
          <w:color w:val="111827"/>
          <w:sz w:val="52"/>
          <w:szCs w:val="52"/>
        </w:rPr>
        <w:t xml:space="preserve">EECA EnMS Gap Assessment Checklist</w:t>
      </w:r>
    </w:p>
    <w:p>
      <w:pPr>
        <w:pBdr>
          <w:top w:val="single" w:color="38B0F8" w:sz="18" w:space="8"/>
        </w:pBdr>
        <w:spacing w:after="200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Score your energy management system against GP/ST/No.46/2024 and the statutory duties of Act 861 — before the Commission does</w:t>
      </w:r>
    </w:p>
    <w:p>
      <w:pPr>
        <w:spacing w:after="360" w:line="32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A self-scored assessment of your organisation’s position against every required element of the Guidelines on Energy Management System [GP/ST/No.46/2024] and the statutory duties of the Energy Efficiency and Conservation Act 2024 [Act 861] and its Regulations — with the citation for every row, an ISO 50001:2018 alignment reference, and a readiness band at the end.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00"/>
        <w:gridCol w:w="900"/>
        <w:gridCol w:w="1750"/>
        <w:gridCol w:w="2300"/>
        <w:gridCol w:w="2696"/>
      </w:tblGrid>
      <w:tr>
        <w:trPr>
          <w:cantSplit/>
        </w:trPr>
        <w:tc>
          <w:tcPr>
            <w:tcW w:type="dxa" w:w="21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DOCUMENT NO.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INV-ENMS-C1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REV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1.0</w:t>
            </w:r>
          </w:p>
        </w:tc>
        <w:tc>
          <w:tcPr>
            <w:tcW w:type="dxa" w:w="175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ISSUE DATE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29 July 2026</w:t>
            </w:r>
          </w:p>
        </w:tc>
        <w:tc>
          <w:tcPr>
            <w:tcW w:type="dxa" w:w="230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PREPARED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Innovast Sdn Bhd</w:t>
            </w:r>
          </w:p>
        </w:tc>
        <w:tc>
          <w:tcPr>
            <w:tcW w:type="dxa" w:w="2696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20" w:line="240"/>
            </w:pPr>
            <w:r>
              <w:rPr>
                <w:rFonts w:ascii="Poppins" w:cs="Poppins" w:eastAsia="Poppins" w:hAnsi="Poppins"/>
                <w:b/>
                <w:bCs/>
                <w:color w:val="6B7280"/>
                <w:spacing w:val="10"/>
                <w:sz w:val="14"/>
                <w:szCs w:val="14"/>
              </w:rPr>
              <w:t xml:space="preserve">APPROVED BY</w:t>
            </w:r>
          </w:p>
          <w:p>
            <w:pPr>
              <w:spacing w:after="0" w:line="240"/>
            </w:pPr>
            <w:r>
              <w:rPr>
                <w:rFonts w:ascii="Inter" w:cs="Inter" w:eastAsia="Inter" w:hAnsi="Inter"/>
                <w:color w:val="111827"/>
                <w:sz w:val="18"/>
                <w:szCs w:val="18"/>
              </w:rPr>
              <w:t xml:space="preserve">Anslem Lim, CEO</w:t>
            </w:r>
          </w:p>
        </w:tc>
      </w:tr>
    </w:tbl>
    <w:p>
      <w:pPr>
        <w:spacing w:after="260" w:before="80"/>
        <w:jc w:val="both"/>
      </w:pPr>
      <w:r>
        <w:rPr>
          <w:rFonts w:ascii="Inter" w:cs="Inter" w:eastAsia="Inter" w:hAnsi="Inter"/>
          <w:i/>
          <w:iCs/>
          <w:color w:val="6B7280"/>
          <w:sz w:val="16"/>
          <w:szCs w:val="16"/>
        </w:rPr>
        <w:t xml:space="preserve">Rev 1.0 · issued 29 July 2026 · regulatory sources last verified 18 July 2026.</w:t>
      </w:r>
    </w:p>
    <w:tbl>
      <w:tblPr>
        <w:tblW w:type="dxa" w:w="9746"/>
        <w:tblBorders>
          <w:top w:val="single" w:color="E5E7EB" w:sz="4"/>
          <w:left w:val="single" w:color="F89048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6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DRAFT FOR ADAPTATION</w:t>
            </w:r>
            <w:r>
              <w:rPr>
                <w:rFonts w:ascii="Inter" w:cs="Inter" w:eastAsia="Inter" w:hAnsi="Inter"/>
                <w:color w:val="4B5563"/>
                <w:sz w:val="18"/>
                <w:szCs w:val="18"/>
              </w:rPr>
              <w:t xml:space="preserve"> — this template is not regulatory advice. Prepared with reference to GP/ST/No.46/2024 (Guidelines on Energy Management System), the Energy Efficiency and Conservation Act 2024 [Act 861] and the Energy Efficiency and Conservation Regulations 2024 [P.U.(A) 466/2024]; sources last verified 18 July 2026. Adapt every field to your organisation before use. Only Suruhanjaya Tenaga can determine compliance with the Act.</w:t>
            </w:r>
          </w:p>
        </w:tc>
      </w:tr>
    </w:tbl>
    <w:p>
      <w:r>
        <w:br w:type="page"/>
      </w:r>
    </w:p>
    <w:p>
      <w:pPr>
        <w:keepNext/>
        <w:spacing w:after="120" w:before="60"/>
      </w:pPr>
      <w:r>
        <w:rPr>
          <w:rFonts w:ascii="Poppins" w:cs="Poppins" w:eastAsia="Poppins" w:hAnsi="Poppins"/>
          <w:b/>
          <w:bCs/>
          <w:color w:val="6B7280"/>
          <w:spacing w:val="20"/>
          <w:sz w:val="17"/>
          <w:szCs w:val="17"/>
        </w:rPr>
        <w:t xml:space="preserve">CONTENTS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1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How to score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2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S1 — Statutory position — designation, REM and the compliance clock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3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S2 — Commitment and governance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4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S3 — Energy management policy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5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S4 — Planning — assessment, data, baseline and targets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6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S5 — Action plan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7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S6 — Implementation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8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S7 — Measuring progress and management review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9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S8 — Reporting, documentation and the EE&amp;C report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10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Your readiness band</w:t>
      </w:r>
    </w:p>
    <w:p>
      <w:pPr>
        <w:tabs>
          <w:tab w:val="left" w:pos="460"/>
        </w:tabs>
        <w:spacing w:after="60"/>
        <w:ind w:left="460" w:hanging="460"/>
      </w:pPr>
      <w:r>
        <w:rPr>
          <w:rFonts w:ascii="Poppins" w:cs="Poppins" w:eastAsia="Poppins" w:hAnsi="Poppins"/>
          <w:b/>
          <w:bCs/>
          <w:color w:val="1273AD"/>
          <w:sz w:val="18"/>
          <w:szCs w:val="18"/>
        </w:rPr>
        <w:t xml:space="preserve">11</w:t>
      </w:r>
      <w:r>
        <w:rPr>
          <w:sz w:val="18"/>
          <w:szCs w:val="18"/>
        </w:rPr>
        <w:tab/>
      </w:r>
      <w:r>
        <w:rPr>
          <w:rFonts w:ascii="Inter" w:cs="Inter" w:eastAsia="Inter" w:hAnsi="Inter"/>
          <w:color w:val="1F2937"/>
          <w:sz w:val="18"/>
          <w:szCs w:val="18"/>
        </w:rPr>
        <w:t xml:space="preserve">What Innovast does with this</w:t>
      </w:r>
    </w:p>
    <w:p>
      <w:pPr>
        <w:spacing w:after="200"/>
      </w:pPr>
      <w:r>
        <w:rPr>
          <w:sz w:val="2"/>
          <w:szCs w:val="2"/>
        </w:rPr>
        <w:t xml:space="preserv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How to score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Work through the eight sections with the people who actually hold the evidence — typically the registered energy manager (REM), the facility or engineering lead, and whoever owns regulatory compliance. For each row, mark exactly one box: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2127"/>
        <w:gridCol w:w="7619"/>
      </w:tblGrid>
      <w:tr>
        <w:trPr>
          <w:cantSplit/>
          <w:tblHeader/>
        </w:trPr>
        <w:tc>
          <w:tcPr>
            <w:tcW w:type="dxa" w:w="2127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  <w:tc>
          <w:tcPr>
            <w:tcW w:type="dxa" w:w="7619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Meaning</w:t>
            </w:r>
          </w:p>
        </w:tc>
      </w:tr>
      <w:tr>
        <w:trPr>
          <w:cantSplit/>
        </w:trPr>
        <w:tc>
          <w:tcPr>
            <w:tcW w:type="dxa" w:w="212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Yes — 2 points</w:t>
            </w:r>
          </w:p>
        </w:tc>
        <w:tc>
          <w:tcPr>
            <w:tcW w:type="dxa" w:w="761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The requirement is met now and you could show the evidence today (document, minutes, record, dated data).</w:t>
            </w:r>
          </w:p>
        </w:tc>
      </w:tr>
      <w:tr>
        <w:trPr>
          <w:cantSplit/>
        </w:trPr>
        <w:tc>
          <w:tcPr>
            <w:tcW w:type="dxa" w:w="212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Partial — 1 point</w:t>
            </w:r>
          </w:p>
        </w:tc>
        <w:tc>
          <w:tcPr>
            <w:tcW w:type="dxa" w:w="761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Something exists but it is incomplete, out of date, undocumented, or has never been through the required approval.</w:t>
            </w:r>
          </w:p>
        </w:tc>
      </w:tr>
      <w:tr>
        <w:trPr>
          <w:cantSplit/>
        </w:trPr>
        <w:tc>
          <w:tcPr>
            <w:tcW w:type="dxa" w:w="2127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No — 0 points</w:t>
            </w:r>
          </w:p>
        </w:tc>
        <w:tc>
          <w:tcPr>
            <w:tcW w:type="dxa" w:w="7619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9"/>
                <w:szCs w:val="19"/>
              </w:rPr>
              <w:t xml:space="preserve">The requirement is not met, or nobody can say where the evidence is.</w:t>
            </w:r>
          </w:p>
        </w:tc>
      </w:tr>
    </w:tbl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Score on evidence, not intention. "The policy is being drafted" is a </w:t>
      </w: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No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. "The Committee met twice this year against the required four" is a </w:t>
      </w: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Partial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. If two people disagree on a row, score the lower answer and note why.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Column key: </w:t>
      </w: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Citation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 = the Malaysian legal or guideline source for the row (Act 861; P.U.(A) 466/2024 regulations; GP/ST/No.46/2024 "GP46"; GP/ST/No.45/2024 "GP45"; GP/ST/No.47/2024 "GP47"). </w:t>
      </w: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ISO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 = the broadly corresponding ISO 50001:2018 clause, shown for organisations mapping this assessment onto an existing or planned ISO 50001 system. The EECA requirements govern; ISO alignment does not substitute for them.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2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S1 — Statutory position — designation, REM and the compliance clock</w:t>
      </w:r>
    </w:p>
    <w:p>
      <w:pPr>
        <w:keepNext/>
        <w:spacing w:after="160"/>
        <w:jc w:val="left"/>
      </w:pPr>
      <w:r>
        <w:rPr>
          <w:rFonts w:ascii="Inter" w:cs="Inter" w:eastAsia="Inter" w:hAnsi="Inter"/>
          <w:i/>
          <w:iCs/>
          <w:color w:val="6B7280"/>
          <w:sz w:val="18"/>
          <w:szCs w:val="18"/>
        </w:rPr>
        <w:t xml:space="preserve">Rows in this section are statutory duties under Act 861 and the EEC Regulations 2024 — they carry direct penalties and are unique to the Malaysian regime (no ISO equivalent for most).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organisation knows its designation status: it has received Suruhanjaya Tenaga’s written notice under s.3(3), or has self-assessed its 12-consecutive-month energy consumption against the 21,600 GJ threshold.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s.3(1)(a), s.3(3); reg 3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 registered energy manager (REM) was appointed within three months from the date of the s.3(3) written notice.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s.5(1); reg 4(2) — penalty s.5(3): fine up to RM50,000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REM route is documented: internal employee appointment (reg 4(1)) or external appointment (reg 6(1)). If external: the three-year expiry date (counted from the s.3(3) notice date) is diarised and an internalisation plan exists (reg 6(4)).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regs 4(1), 6(1), 6(4)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REM’s qualification tier matches the consumption band: 21,600–50,000 GJ → REM meeting reg 14; above 50,000 GJ → REM meeting subregulation 14(2) or (3).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reg 5(a)–(b)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workload caps are respected: an internal REM serves no more than 7 other energy consumers that are related corporations (reg 4(4)); an external REM serves no more than 7 other energy consumers (reg 6(3)).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regs 4(4), 6(3)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S1-06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Commission was notified of the REM appointment by electronic means.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regs 4(3), 6(2)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S1-07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REM vacancy protocol is known and assigned: notice to the Commission within 14 days of the office falling vacant; internal replacement within three months (external fallback only with the Commission’s written approval).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reg 7(1)–(3) — penalty for late/no vacancy notice (reg 7(1)): reg 7(4), fine up to RM10,000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S1-08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EnMS development deadline is diarised: one year from the date of the REM appointment under reg 4(1) or 6(1).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s.6(1); reg 8 — penalty s.6(3): fine up to RM50,000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S1-09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first EE&amp;C report deadline is diarised: within 30 days after the expiry of one year from the date of the REM appointment; the annual cycle thereafter is tracked — each subsequent report within 30 days after each successive appointment anniversary, per the GP45 Figure 1 submission timeline.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s.7(2); reg 9(a)–(b); GP45 para. 3.2 Fig. 1 — penalty s.7(4): fine up to RM50,000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S1-10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energy audit cycle is tracked: registered energy auditor appointed (s.8(2)); first audit report submitted within one year of the s.3(3) notice, then on the fifth year for every five years; any exemption application window (first three months of the fifth year) is diarised.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ss.8–9; reg 10 — penalties: s.8(4) (no REA appointed) and s.9(10) (report not submitted), each a fine up to RM50,000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20)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3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S2 — Commitment and governance (GP46 para. 4.2–4.3)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S2-01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Top management commitment is documented, covering its GP46 responsibilities: review and endorse the EnMS boundary, energy policy, objectives/targets and EEI; allocate human and financial resources; endorse M&amp;V implementation; communicate the importance of energy management; consider energy performance in long-term planning; conduct management review.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4.2(a)(i)–(ix)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S2-02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 management representative has been appointed from among top management (or the CEO) to oversee EnMS implementation, with authority to make energy management decisions.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4.2(b)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5.1/5.3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S2-03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An Energy Management Committee is established with multi-department representation (EHS; utility/facility/engineering O&amp;M; production for industry; procurement and finance; human resource; administration).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4.3(a)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S2-04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Committee duties are defined and discharged: energy policy preparation, EnMS self-evaluation, internal performance review, action plan, awareness/campaign/training, procedures approval, EnMS monitoring, M&amp;V oversight, target revision.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4.3(b)(i)–(ix)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S2-05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Committee meets not less than four times a year; minutes are recorded and endorsed by the management representative.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4.3(b); GP47 para. 3(c)(ii)–(iii)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 (ST is more specific)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S2-06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REM assists the Committee per the defined functions: objectives and targets, resources, EEI selection, internal performance review, data collection plan, action plan execution, opportunity identification, M&amp;V for reporting savings.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4.3(c)(i); Act s.5(2); GP47 para. 3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S2-07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Human and financial resources for the EnMS are allocated and reflected in budgets.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4.2(a)(iii)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7.1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14)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4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S3 — Energy management policy (GP46 para. 4.4)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S3-01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energy management policy contains the four mandatory commitments: (a) continual improvement of energy performance through an action plan; (b) provision of information, data and resources; (c) compliance with any other written law; (d) support for energy-efficient products and services in new, retrofitted and renovated facilities where economically feasible.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4.4.1(a)–(d)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S3-02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policy is documented, implemented and promoted throughout the organisation.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4.4.2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5.2/7.3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S3-03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policy is regularly reviewed against energy management performance and kept up to date.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4.4.2–4.4.3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5.2/9.3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S3-04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policy is signed by the current top management.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4.4.3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5.2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S3-05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policy is displayed in a conspicuous part of the premises, visible to all staff and employees.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4.4.4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 (ST is more specific)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10)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5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S4 — Planning — assessment, data, baseline and targets (GP46 para. 5)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An EnMS self-evaluation using an energy management matrix (policy; organisation; communication and motivation; monitoring and targeting; promotion, awareness and capacity; finance and budget) was conducted at Committee formation, is documented, and is re-assessed periodically.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5.2.3(a)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 (EECA-specific instrument)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An internal EnMS performance review is conducted as the basis for self-declaration of conformity across the EnMS components, generating improvement opportunities and responding to non-conformity.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5.2.3(b)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9.1/9.2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EnMS boundary is defined and covers the whole facilities of the energy consumer.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5.2.4(a)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4.3 (ST is stricter — no scope carve-outs)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Significant Energy Uses (SEUs) are identified by quantifying the energy consumed by facility, process or equipment.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2 (SEU), para. 5.2.4(a)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An inventory of operation systems, mechanical and electrical services, production processes and equipment is maintained.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5.2.4(b)(i)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S4-06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At least twelve months of the most recent energy consumption data is collected — from utility bills at minimum, with submetering for individual SEUs where available.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5.2.4(b)(ii); GP47 para. 3(a)(i)(B)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6.3/6.6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S4-07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On-site energy generation data (electricity kWh, chilled water RTh, steam tonnes, other) and variable data (operating hours, production volume, weather, occupancy) affecting consumption are collected.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5.2.4(b)(iii)–(iv)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6.3/6.6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S4-08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An energy baseline is established using an EEI (SEC for industry; BEI for buildings) and/or regression analysis, with defined conditions for baseline revision.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5.2.4(c)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6.4/6.5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S4-09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benchmarking is performed — external (peer facilities or established standard values) or internal (against own baseline within 12 months or own targets).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5.2.4(d)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 (good practice; ISO 6.6 note)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S4-10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Performance targets are established from the EnMS assessment and energy performance analysis (GP46 contemplates achievement within three years of establishment — "may", not "shall").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5.3.1–5.3.2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20)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6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S5 — Action plan (GP46 para. 6)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S5-01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Strategies are built on a gap review: EnMS self-evaluation findings, technical assessments and energy audit findings compared against targets.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6.0(a)(i)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S5-02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Technical strategies are defined for closing the gaps — ESMs, energy management working procedures, operational guidelines, maintenance procedures.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6.0(a)(ii)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S5-03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Capacity development is programmed: training, awareness programmes and campaigns, best-practice sharing.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6.0(a)(iii)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7.2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S5-04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Each ESM in the action plan has a timeframe and estimated savings; prioritisation uses financial analysis (CBA, SPP, NPV, IRR or ROI).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6.0(b)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S5-05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Each ESM has named owners with defined responsibilities (internal and external — consultants, contractors, vendors) and an estimate of cost and human resources.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6.0(c)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6.2/7.1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10)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7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S6 — Implementation (GP46 para. 7)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progress of action plan implementation is documented.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7.2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6.2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Identified energy efficiency retrofits are implemented per the prioritised list from the action plan.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7.3(a)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8.1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Work procedures controlling energy use in operation are implemented — how to operate processes and equipment to operational criteria, and how to adjust control parameters to optimise energy use.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7.3(b)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8.1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maintenance schedule is incorporated into energy monitoring work procedures, and measuring equipment is calibrated according to plan.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7.4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7.1/9.1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Work procedures exist for handling non-conformance and initiating corrective and preventive actions to minimise energy waste.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7.5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10.1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S6-06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 proper M&amp;V mechanism is established and conducted for each ESM project according to its M&amp;V plan; the M&amp;V plan, data collection and savings analysis are documented and archived.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7.6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9.1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S6-07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 motivation strategy and a communication plan are implemented — platforms, frequency, target audiences, information to be delivered, and staff feedback channels (communication matrix).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7.7–7.8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7.4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S6-08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Awareness and capacity-building programmes run for staff, top management and stakeholders, including training.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7.9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7.2–7.3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16)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8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S7 — Measuring progress and management review (GP46 para. 8)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S7-01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 periodical internal EnMS review is implemented at least once a year to confirm the system is effectively implemented and maintained and achieves the policy, objectives and targets.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8.2(b)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9.1/9.2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S7-02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Results are evaluated: achievements reviewed against previous EnMS assessments; energy efficiency analysed against the established EEI; benchmarking reviewed against baselines, targets and peers; ESM savings verified; staff awareness, knowledge and competency assessed.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8.2(a), (c)–(f)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9.1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S7-03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Compliance with legal requirements is evaluated.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8.2(g)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9.1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S7-04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 management review with top management is held at least once a year; the management representative presents the outcomes; minutes are recorded and endorsed by top management.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8.3; GP47 para. 3(c)(iv)–(v)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9.3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S7-05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Top management decides the actions arising — policy implementation or improvement, energy targets, resources and strategies for continual improvement.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8.3(a)–(c)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9.3/10.2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10)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9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S8 — Reporting, documentation and the EE&amp;C report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820"/>
        <w:gridCol w:w="5906"/>
        <w:gridCol w:w="1140"/>
        <w:gridCol w:w="1880"/>
      </w:tblGrid>
      <w:tr>
        <w:trPr>
          <w:cantSplit/>
          <w:tblHeader/>
        </w:trPr>
        <w:tc>
          <w:tcPr>
            <w:tcW w:type="dxa" w:w="82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ID</w:t>
            </w:r>
          </w:p>
        </w:tc>
        <w:tc>
          <w:tcPr>
            <w:tcW w:type="dxa" w:w="590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Requirement</w:t>
            </w:r>
          </w:p>
        </w:tc>
        <w:tc>
          <w:tcPr>
            <w:tcW w:type="dxa" w:w="114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ISO ref</w:t>
            </w:r>
          </w:p>
        </w:tc>
        <w:tc>
          <w:tcPr>
            <w:tcW w:type="dxa" w:w="188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Score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S8-01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Reporting and documentation are maintained as an ongoing EnMS activity — policy, minutes, self-evaluation records, data collection plans, action plans, M&amp;V records.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GP46 para. 3.4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7.5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S8-02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EE&amp;C report is prepared by the REM with the statutory content: description of the EnMS; total amount and purpose of energy and energy resources consumed; proposed EE&amp;C improvement measures; measures implemented and yet to be implemented; any other information required by the Commission — in the GP45 structure.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s.7(1)(a)–(e); GP45 para. 4.1 — penalty s.7(3) (REM): fine up to RM20,000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S8-03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EE&amp;C report accuracy is verified: reported data compared with actual utility bills and invoices; supporting documents (maintenance records, equipment specifications, energy audit reports) examined for alignment with physical infrastructure and operations.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s.5(2)(e); GP47 para. 3(e)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S8-04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EE&amp;C report is submitted to the Commission through the online system within the reg 9 window.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s.7(2); reg 9; GP45 para. 5 — penalty s.7(4): fine up to RM50,000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17"/>
                <w:szCs w:val="17"/>
              </w:rPr>
              <w:t xml:space="preserve">S8-05</w:t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 w:line="25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Officer-level accountability is understood: on a body-corporate offence under the Act, directors, compliance officers, partners, managers and similar officers may be charged jointly or severally and are deemed liable unless the statutory defence is made out.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i/>
                <w:iCs/>
                <w:color w:val="6B7280"/>
                <w:sz w:val="15"/>
                <w:szCs w:val="15"/>
              </w:rPr>
              <w:t xml:space="preserve">Act s.62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4B5563"/>
                <w:sz w:val="16"/>
                <w:szCs w:val="16"/>
              </w:rPr>
              <w:t xml:space="preserve">—</w:t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4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☐ 2   ☐ 1   ☐ 0</w:t>
            </w:r>
          </w:p>
          <w:p>
            <w:pPr>
              <w:spacing w:after="0"/>
            </w:pPr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Evidence: ____________</w:t>
            </w:r>
          </w:p>
        </w:tc>
      </w:tr>
      <w:tr>
        <w:trPr>
          <w:cantSplit/>
        </w:trPr>
        <w:tc>
          <w:tcPr>
            <w:tcW w:type="dxa" w:w="82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590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F2937"/>
                <w:sz w:val="17"/>
                <w:szCs w:val="17"/>
              </w:rPr>
              <w:t xml:space="preserve">Section subtotal (max 10)</w:t>
            </w:r>
          </w:p>
        </w:tc>
        <w:tc>
          <w:tcPr>
            <w:tcW w:type="dxa" w:w="114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/>
            </w:r>
          </w:p>
        </w:tc>
        <w:tc>
          <w:tcPr>
            <w:tcW w:type="dxa" w:w="188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color w:val="1F2937"/>
                <w:sz w:val="17"/>
                <w:szCs w:val="17"/>
              </w:rPr>
              <w:t xml:space="preserve">__________</w:t>
            </w:r>
          </w:p>
        </w:tc>
      </w:tr>
    </w:tbl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10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Your readiness band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Add the eight section subtotals. Maximum score: </w:t>
      </w: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110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 (55 rows × 2). Convert to a percentage: total ÷ 110 × 100.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1643"/>
        <w:gridCol w:w="2030"/>
        <w:gridCol w:w="6073"/>
      </w:tblGrid>
      <w:tr>
        <w:trPr>
          <w:cantSplit/>
          <w:tblHeader/>
        </w:trPr>
        <w:tc>
          <w:tcPr>
            <w:tcW w:type="dxa" w:w="164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Total score</w:t>
            </w:r>
          </w:p>
        </w:tc>
        <w:tc>
          <w:tcPr>
            <w:tcW w:type="dxa" w:w="203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Band</w:t>
            </w:r>
          </w:p>
        </w:tc>
        <w:tc>
          <w:tcPr>
            <w:tcW w:type="dxa" w:w="6073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What it means — and what to do next</w:t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94–110  (≥85%)</w:t>
            </w:r>
          </w:p>
        </w:tc>
        <w:tc>
          <w:tcPr>
            <w:tcW w:type="dxa" w:w="203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00920C"/>
                <w:sz w:val="20"/>
                <w:szCs w:val="20"/>
              </w:rPr>
              <w:t xml:space="preserve">Audit-ready</w:t>
            </w:r>
          </w:p>
        </w:tc>
        <w:tc>
          <w:tcPr>
            <w:tcW w:type="dxa" w:w="60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Your EnMS is substantially in place. Priority: formalise the evidence trail so every Yes above survives scrutiny — minutes, endorsed policy, M&amp;V records — and align the EE&amp;C report data pack to GP45 before the reg 9 window.</w:t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66–93  (60–84%)</w:t>
            </w:r>
          </w:p>
        </w:tc>
        <w:tc>
          <w:tcPr>
            <w:tcW w:type="dxa" w:w="203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Structured but exposed</w:t>
            </w:r>
          </w:p>
        </w:tc>
        <w:tc>
          <w:tcPr>
            <w:tcW w:type="dxa" w:w="60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The framework exists but specific rows above are Partial or No. Close the flagged gaps in citation order (statutory rows first) before the reg 8 one-year deadline consumes your calendar.</w:t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39–65  (35–59%)</w:t>
            </w:r>
          </w:p>
        </w:tc>
        <w:tc>
          <w:tcPr>
            <w:tcW w:type="dxa" w:w="203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C05B14"/>
                <w:sz w:val="20"/>
                <w:szCs w:val="20"/>
              </w:rPr>
              <w:t xml:space="preserve">Foundations missing</w:t>
            </w:r>
          </w:p>
        </w:tc>
        <w:tc>
          <w:tcPr>
            <w:tcW w:type="dxa" w:w="60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Core elements are absent. Sequence: management representative and Committee → energy policy → data collection and baseline → action plan. The pack’s templates C2, C3, C6 and C7 map to exactly these steps.</w:t>
            </w:r>
          </w:p>
        </w:tc>
      </w:tr>
      <w:tr>
        <w:trPr>
          <w:cantSplit/>
        </w:trPr>
        <w:tc>
          <w:tcPr>
            <w:tcW w:type="dxa" w:w="164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0–38  (&lt;35%)</w:t>
            </w:r>
          </w:p>
        </w:tc>
        <w:tc>
          <w:tcPr>
            <w:tcW w:type="dxa" w:w="203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Inter" w:cs="Inter" w:eastAsia="Inter" w:hAnsi="Inter"/>
                <w:b/>
                <w:bCs/>
                <w:color w:val="EF4444"/>
                <w:sz w:val="20"/>
                <w:szCs w:val="20"/>
              </w:rPr>
              <w:t xml:space="preserve">Starting from zero</w:t>
            </w:r>
          </w:p>
        </w:tc>
        <w:tc>
          <w:tcPr>
            <w:tcW w:type="dxa" w:w="607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With the reg 8 clock at one year from REM appointment, building an EnMS in-house from nothing is the high-risk path. An experienced external team compresses months of trial and error into weeks.</w:t>
            </w:r>
          </w:p>
        </w:tc>
      </w:tr>
    </w:tbl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Whatever the band: rows scored No in </w:t>
      </w: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Section S1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 come first. They are statutory duties with direct penalties and fixed clocks — everything else in the EnMS can be built in parallel, but a missing REM or an undiarised regulation 8 deadline compounds weekly.</w:t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  <w:ind w:left="460" w:hanging="460"/>
      </w:pPr>
      <w:r>
        <w:rPr>
          <w:rFonts w:ascii="Poppins" w:cs="Poppins" w:eastAsia="Poppins" w:hAnsi="Poppins"/>
          <w:b/>
          <w:bCs/>
          <w:color w:val="38B0F8"/>
          <w:sz w:val="30"/>
          <w:szCs w:val="30"/>
        </w:rPr>
        <w:t xml:space="preserve">11</w:t>
      </w:r>
      <w:r>
        <w:rPr>
          <w:rFonts w:ascii="Poppins" w:cs="Poppins" w:eastAsia="Poppins" w:hAnsi="Poppins"/>
          <w:sz w:val="30"/>
          <w:szCs w:val="30"/>
        </w:rPr>
        <w:tab/>
      </w: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What Innovast does with this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Bring us your scored checklist — or run the same assessment as a guided online wizard at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eeca2024.my</w:t>
      </w:r>
      <w:r>
        <w:rPr>
          <w:rFonts w:ascii="Inter" w:cs="Inter" w:eastAsia="Inter" w:hAnsi="Inter"/>
          <w:color w:val="1F2937"/>
          <w:sz w:val="20"/>
          <w:szCs w:val="20"/>
        </w:rPr>
        <w:t xml:space="preserve"> — and we will turn it into a sequenced compliance plan: which gaps close in which order, what each requires, and where the quick wins are. The first conversation is free and comes with a Level 1 desktop review of your position.</w:t>
      </w:r>
    </w:p>
    <w:tbl>
      <w:tblPr>
        <w:tblW w:type="dxa" w:w="9746"/>
        <w:tblBorders>
          <w:top w:val="single" w:color="E5E7EB" w:sz="4"/>
          <w:left w:val="single" w:color="00BF63" w:sz="24"/>
          <w:bottom w:val="single" w:color="E5E7EB" w:sz="4"/>
          <w:right w:val="single" w:color="E5E7EB" w:sz="4"/>
          <w:insideH w:val="none"/>
          <w:insideV w:val="none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shd w:fill="F9FAFB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line="280"/>
              <w:jc w:val="both"/>
            </w:pPr>
            <w:r>
              <w:rPr>
                <w:rFonts w:ascii="Inter" w:cs="Inter" w:eastAsia="Inter" w:hAnsi="Inter"/>
                <w:b/>
                <w:bCs/>
                <w:color w:val="111827"/>
                <w:sz w:val="20"/>
                <w:szCs w:val="20"/>
              </w:rPr>
              <w:t xml:space="preserve">InnoSense — keep the score green all year. </w:t>
            </w: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InnoSense, Innovast’s energy management platform, tracks your consumption, baseline and EnMS cycle continuously — so the next time you score this checklist, the evidence is already on file. Register interest at </w:t>
            </w: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eeca2024.my</w:t>
            </w:r>
            <w:r>
              <w:rPr>
                <w:rFonts w:ascii="Inter" w:cs="Inter" w:eastAsia="Inter" w:hAnsi="Inter"/>
                <w:color w:val="1F2937"/>
                <w:sz w:val="20"/>
                <w:szCs w:val="20"/>
              </w:rPr>
              <w:t xml:space="preserve"> · </w:t>
            </w:r>
            <w:r>
              <w:rPr>
                <w:rFonts w:ascii="Inter" w:cs="Inter" w:eastAsia="Inter" w:hAnsi="Inter"/>
                <w:b/>
                <w:bCs/>
                <w:color w:val="1273AD"/>
                <w:sz w:val="20"/>
                <w:szCs w:val="20"/>
              </w:rPr>
              <w:t xml:space="preserve">anslem@innovast.asia</w:t>
            </w:r>
          </w:p>
        </w:tc>
      </w:tr>
    </w:tbl>
    <w:p>
      <w:r>
        <w:br w:type="page"/>
      </w:r>
    </w:p>
    <w:p>
      <w:pPr>
        <w:keepNext/>
        <w:keepLines/>
        <w:pBdr>
          <w:bottom w:val="single" w:color="38B0F8" w:sz="12" w:space="4"/>
        </w:pBdr>
        <w:tabs>
          <w:tab w:val="left" w:pos="460"/>
        </w:tabs>
        <w:spacing w:after="180" w:before="320"/>
      </w:pPr>
      <w:r>
        <w:rPr>
          <w:rFonts w:ascii="Poppins" w:cs="Poppins" w:eastAsia="Poppins" w:hAnsi="Poppins"/>
          <w:b/>
          <w:bCs/>
          <w:color w:val="111827"/>
          <w:sz w:val="30"/>
          <w:szCs w:val="30"/>
        </w:rPr>
        <w:t xml:space="preserve">The complete Starter Pack</w:t>
      </w:r>
    </w:p>
    <w:p>
      <w:pPr>
        <w:spacing w:after="140" w:line="300"/>
        <w:jc w:val="both"/>
      </w:pPr>
      <w:r>
        <w:rPr>
          <w:rFonts w:ascii="Inter" w:cs="Inter" w:eastAsia="Inter" w:hAnsi="Inter"/>
          <w:color w:val="1F2937"/>
          <w:sz w:val="20"/>
          <w:szCs w:val="20"/>
        </w:rPr>
        <w:t xml:space="preserve">This document is one of thirteen working documents in the EECA 2024 EnMS Starter Pack — together they stand up an energy management system that follows GP/ST/No.46/2024 and the statutory duties of Act 861.</w:t>
      </w:r>
    </w:p>
    <w:tbl>
      <w:tblPr>
        <w:tblW w:type="dxa" w:w="9746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E5E7EB" w:sz="4"/>
          <w:insideV w:val="single" w:color="E5E7EB" w:sz="4"/>
        </w:tblBorders>
      </w:tblPr>
      <w:tblGrid>
        <w:gridCol w:w="700"/>
        <w:gridCol w:w="3300"/>
        <w:gridCol w:w="5746"/>
      </w:tblGrid>
      <w:tr>
        <w:trPr>
          <w:cantSplit/>
          <w:tblHeader/>
        </w:trPr>
        <w:tc>
          <w:tcPr>
            <w:tcW w:type="dxa" w:w="7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Code</w:t>
            </w:r>
          </w:p>
        </w:tc>
        <w:tc>
          <w:tcPr>
            <w:tcW w:type="dxa" w:w="3300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Document</w:t>
            </w:r>
          </w:p>
        </w:tc>
        <w:tc>
          <w:tcPr>
            <w:tcW w:type="dxa" w:w="5746"/>
            <w:tcBorders>
              <w:bottom w:val="single" w:color="38B0F8" w:sz="8"/>
            </w:tcBorders>
            <w:shd w:fill="F9FAFB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11827"/>
                <w:sz w:val="18"/>
                <w:szCs w:val="18"/>
              </w:rPr>
              <w:t xml:space="preserve">Use it to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Pack Guide &amp; Compliance Clock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Orient the team; diarise the statutory deadlines</w:t>
            </w:r>
          </w:p>
        </w:tc>
      </w:tr>
      <w:tr>
        <w:trPr>
          <w:cantSplit/>
        </w:trPr>
        <w:tc>
          <w:tcPr>
            <w:tcW w:type="dxa" w:w="7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273AD"/>
                <w:sz w:val="18"/>
                <w:szCs w:val="18"/>
              </w:rPr>
              <w:t xml:space="preserve">C1</w:t>
            </w:r>
          </w:p>
        </w:tc>
        <w:tc>
          <w:tcPr>
            <w:tcW w:type="dxa" w:w="3300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b/>
                <w:bCs/>
                <w:color w:val="1F2937"/>
                <w:sz w:val="18"/>
                <w:szCs w:val="18"/>
              </w:rPr>
              <w:t xml:space="preserve">EECA EnMS Gap Assessment Checklist</w:t>
            </w:r>
          </w:p>
        </w:tc>
        <w:tc>
          <w:tcPr>
            <w:tcW w:type="dxa" w:w="5746"/>
            <w:shd w:fill="EAF6FE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Score your current position (Yes / Partial / No) against every GP46 element and statutory duty; get a readiness band  </w:t>
            </w:r>
            <w:r>
              <w:rPr>
                <w:rFonts w:ascii="Inter" w:cs="Inter" w:eastAsia="Inter" w:hAnsi="Inter"/>
                <w:b/>
                <w:bCs/>
                <w:color w:val="1273AD"/>
                <w:sz w:val="16"/>
                <w:szCs w:val="16"/>
              </w:rPr>
              <w:t xml:space="preserve">(this document)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Management Policy Template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Draft the policy with the four GP46-mandatory commitments built in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C3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Committee &amp; Governance Kit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Appoint the management representative; constitute the Committee; run and minute the meetings and the annual management review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C4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Legal &amp; Obligations Register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Hold every Act 861 / EECR duty with citation, deadline, penalty, owner and status — the legal-compliance evaluation GP46 para. 8.2(g) expects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C5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REM Appointment Checklist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Choose internal vs external appointment; respect the tiering and the caps; manage the three-year window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C6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EnPI / EEI Worksheet (sector-selectable)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Establish the baseline and indicator — SEC path for industry, BEI path for buildings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C7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Energy Data Collection Plan + 12-Month Consumption Tracker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Plan and record the twelve months of consumption, generation and variable data GP46 requires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C8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Action Plan &amp; ESM Register (docx + 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Turn audit findings into a prioritised, costed, owned action plan with M&amp;V per ESM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C9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Communication, Awareness &amp; Training Plan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Discharge GP46 para. 7.7–7.9 — communication matrix, motivation strategy, training programme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C10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EnMS Self-Evaluation Matrix (xlsx)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Run the GP46 para. 5.2.3(a) maturity self-evaluation at Committee formation and periodically after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C11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Work Procedure &amp; Log Sheet Starters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Seed the operational controls — chiller plant and lighting examples to adapt</w:t>
            </w:r>
          </w:p>
        </w:tc>
      </w:tr>
      <w:tr>
        <w:trPr>
          <w:cantSplit/>
        </w:trPr>
        <w:tc>
          <w:tcPr>
            <w:tcW w:type="dxa" w:w="7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C12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EE&amp;C Report Skeleton</w:t>
            </w:r>
          </w:p>
        </w:tc>
        <w:tc>
          <w:tcPr>
            <w:tcW w:type="dxa" w:w="5746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 w:line="260"/>
            </w:pPr>
            <w:r>
              <w:rPr>
                <w:rFonts w:ascii="Inter" w:cs="Inter" w:eastAsia="Inter" w:hAnsi="Inter"/>
                <w:color w:val="1F2937"/>
                <w:sz w:val="18"/>
                <w:szCs w:val="18"/>
              </w:rPr>
              <w:t xml:space="preserve">Assemble the annual report content in the GP45 structure before entering it in the Commission’s online system</w:t>
            </w:r>
          </w:p>
        </w:tc>
      </w:tr>
    </w:tbl>
    <w:p>
      <w:pPr>
        <w:spacing w:after="0" w:before="160"/>
        <w:jc w:val="left"/>
      </w:pPr>
      <w:r>
        <w:rPr>
          <w:rFonts w:ascii="Inter" w:cs="Inter" w:eastAsia="Inter" w:hAnsi="Inter"/>
          <w:b/>
          <w:bCs/>
          <w:color w:val="1F2937"/>
          <w:sz w:val="20"/>
          <w:szCs w:val="20"/>
        </w:rPr>
        <w:t xml:space="preserve">Get the complete pack, free:  </w:t>
      </w:r>
      <w:r>
        <w:rPr>
          <w:rFonts w:ascii="Inter" w:cs="Inter" w:eastAsia="Inter" w:hAnsi="Inter"/>
          <w:b/>
          <w:bCs/>
          <w:color w:val="1273AD"/>
          <w:sz w:val="20"/>
          <w:szCs w:val="20"/>
        </w:rPr>
        <w:t xml:space="preserve">eeca2024.my/enms-pack</w:t>
      </w:r>
      <w:r>
        <w:rPr>
          <w:rFonts w:ascii="Inter" w:cs="Inter" w:eastAsia="Inter" w:hAnsi="Inter"/>
          <w:color w:val="4B5563"/>
          <w:sz w:val="19"/>
          <w:szCs w:val="19"/>
        </w:rPr>
        <w:t xml:space="preserve">   ·   anslem@innovast.asia   ·   +60 12 355 6214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080" w:bottom="108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ppins">
    <w:charset w:val="00"/>
    <w:family w:val="swiss"/>
    <w:pitch w:val="variable"/>
    <w:embedRegular r:id="rIdFont1" w:fontKey="{74E4196A-EDD4-4A2B-9E20-2C87B5A15664}"/>
    <w:embedBold r:id="rIdFont2" w:fontKey="{8C820EB0-997B-493B-8D07-02919FED84DE}"/>
  </w:font>
  <w:font w:name="Inter">
    <w:charset w:val="00"/>
    <w:family w:val="swiss"/>
    <w:pitch w:val="variable"/>
    <w:embedRegular r:id="rIdFont3" w:fontKey="{F8BE9A64-0E7A-48BA-BE37-DD1BAF8DB8E7}"/>
    <w:embedBold r:id="rIdFont4" w:fontKey="{F69815E4-5D8C-4D14-93BB-54EC278902EA}"/>
    <w:embedItalic r:id="rIdFont5" w:fontKey="{78802B8D-6B04-431F-8979-4071DDFF657A}"/>
    <w:embedBoldItalic r:id="rIdFont6" w:fontKey="{44114FB8-DBD0-4203-9694-64A9EE5162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3"/>
      </w:pBdr>
      <w:tabs>
        <w:tab w:val="right" w:pos="9746"/>
      </w:tabs>
      <w:spacing w:after="20"/>
    </w:pPr>
    <w:r>
      <w:rPr>
        <w:rFonts w:ascii="Inter" w:cs="Inter" w:eastAsia="Inter" w:hAnsi="Inter"/>
        <w:color w:val="6B7280"/>
        <w:sz w:val="15"/>
        <w:szCs w:val="15"/>
      </w:rPr>
      <w:t xml:space="preserve">INV-ENMS-C1 · Rev 1.0 · Draft for adaptation</w:t>
    </w:r>
    <w:r>
      <w:rPr>
        <w:rFonts w:ascii="Inter" w:cs="Inter" w:eastAsia="Inter" w:hAnsi="Inter"/>
        <w:sz w:val="15"/>
        <w:szCs w:val="15"/>
      </w:rPr>
      <w:t xml:space="preserve">	</w:t>
    </w:r>
    <w:r>
      <w:rPr>
        <w:rFonts w:ascii="Inter" w:cs="Inter" w:eastAsia="Inter" w:hAnsi="Inter"/>
        <w:color w:val="6B7280"/>
        <w:sz w:val="15"/>
        <w:szCs w:val="15"/>
      </w:rPr>
      <w:t xml:space="preserve">Page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6B7280"/>
        <w:sz w:val="15"/>
        <w:szCs w:val="15"/>
      </w:rPr>
      <w:t xml:space="preserve"> of </w:t>
    </w:r>
    <w:r>
      <w:rPr>
        <w:rFonts w:ascii="Inter" w:cs="Inter" w:eastAsia="Inter" w:hAnsi="Inter"/>
        <w:color w:val="6B7280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r>
      <w:rPr>
        <w:rFonts w:ascii="Inter" w:cs="Inter" w:eastAsia="Inter" w:hAnsi="Inter"/>
        <w:color w:val="6B7280"/>
        <w:sz w:val="15"/>
        <w:szCs w:val="15"/>
      </w:rPr>
      <w:t xml:space="preserve">Innovast Sdn Bhd · Licensed ESCO · Registered with Suruhanjaya Tenaga (Energy Commission Malaysia)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after="40"/>
    </w:pPr>
    <w:r>
      <w:rPr>
        <w:rFonts w:ascii="Poppins" w:cs="Poppins" w:eastAsia="Poppins" w:hAnsi="Poppins"/>
        <w:b/>
        <w:bCs/>
        <w:color w:val="111827"/>
        <w:sz w:val="21"/>
        <w:szCs w:val="21"/>
      </w:rPr>
      <w:t xml:space="preserve">Innovast Sdn Bhd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Licensed Energy Service Company (ESCO) · ESCO Reg. No. ESCO 327(2023)/76/2024</w:t>
    </w:r>
  </w:p>
  <w:p>
    <w:pPr>
      <w:spacing w:after="20"/>
    </w:pPr>
    <w:r>
      <w:rPr>
        <w:rFonts w:ascii="Inter" w:cs="Inter" w:eastAsia="Inter" w:hAnsi="Inter"/>
        <w:color w:val="4B5563"/>
        <w:sz w:val="18"/>
        <w:szCs w:val="18"/>
      </w:rPr>
      <w:t xml:space="preserve">Company Reg. No. 202201012221 (1457918-M) · Registered with Suruhanjaya Tenaga · SEDA Recognised</w:t>
    </w:r>
  </w:p>
  <w:p>
    <w:pPr>
      <w:spacing w:after="0"/>
    </w:pPr>
    <w:r>
      <w:rPr>
        <w:rFonts w:ascii="Inter" w:cs="Inter" w:eastAsia="Inter" w:hAnsi="Inter"/>
        <w:color w:val="1273AD"/>
        <w:sz w:val="18"/>
        <w:szCs w:val="18"/>
      </w:rPr>
      <w:t xml:space="preserve">www.innovast.asia · anslem@innovast.asia · +60 12 355 6214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5E7EB" w:sz="4" w:space="3"/>
      </w:pBdr>
      <w:tabs>
        <w:tab w:val="right" w:pos="9746"/>
      </w:tabs>
    </w:pPr>
    <w:r>
      <w:drawing>
        <wp:inline distT="0" distB="0" distL="0" distR="0">
          <wp:extent cx="85725" cy="1524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oppins" w:cs="Poppins" w:eastAsia="Poppins" w:hAnsi="Poppins"/>
        <w:b/>
        <w:bCs/>
        <w:color w:val="6B7280"/>
        <w:sz w:val="16"/>
        <w:szCs w:val="16"/>
      </w:rPr>
      <w:t xml:space="preserve">  EECA 2024 EnMS Starter Pack</w:t>
    </w:r>
    <w:r>
      <w:rPr>
        <w:rFonts w:ascii="Inter" w:cs="Inter" w:eastAsia="Inter" w:hAnsi="Inter"/>
        <w:color w:val="6B7280"/>
        <w:sz w:val="16"/>
        <w:szCs w:val="16"/>
      </w:rPr>
      <w:t xml:space="preserve">	C1 · Gap Assessment Checklist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00"/>
      </w:pPr>
    </w:lvl>
    <w:lvl w:ilvl="1" w15:tentative="1">
      <w:start w:val="1"/>
      <w:numFmt w:val="bullet"/>
      <w:lvlText w:val="·"/>
      <w:lvlJc w:val="left"/>
      <w:pPr>
        <w:ind w:left="7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mbedTrueTypeFonts/>
  <w:saveSubsetFonts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6a3225be243d0684e64ffa8d8cda75a3f659697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 standalone="yes"?><Relationships xmlns="http://schemas.openxmlformats.org/package/2006/relationships"><Relationship Id="rIdFont1" Type="http://schemas.openxmlformats.org/officeDocument/2006/relationships/font" Target="fonts/font1.odttf"/><Relationship Id="rIdFont2" Type="http://schemas.openxmlformats.org/officeDocument/2006/relationships/font" Target="fonts/font2.odttf"/><Relationship Id="rIdFont3" Type="http://schemas.openxmlformats.org/officeDocument/2006/relationships/font" Target="fonts/font3.odttf"/><Relationship Id="rIdFont4" Type="http://schemas.openxmlformats.org/officeDocument/2006/relationships/font" Target="fonts/font4.odttf"/><Relationship Id="rIdFont5" Type="http://schemas.openxmlformats.org/officeDocument/2006/relationships/font" Target="fonts/font5.odttf"/><Relationship Id="rIdFont6" Type="http://schemas.openxmlformats.org/officeDocument/2006/relationships/font" Target="fonts/font6.odttf"/></Relationships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f7d3d510dd56c0f342def237bd02c91681dac2a.png"/></Relationships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 · Gap Assessment Checklist — EECA 2024 EnMS Starter Pack</dc:title>
  <dc:subject>EECA 2024 EnMS Starter Pack — draft EnMS documentation for Malaysian designated energy consumers (GP/ST/No.46/2024; Act 861; P.U.(A) 466/2024)</dc:subject>
  <dc:creator>Anslem Lim</dc:creator>
  <cp:keywords>EECA 2024, Act 861, EnMS, GP/ST/No.46/2024, energy management, Innovast, Suruhanjaya Tenaga</cp:keywords>
  <dc:description>Prepared by Innovast Sdn Bhd, Licensed ESCO (ESCO 327(2023)/76/2024). Draft for adaptation — adapt to your organisation before use; not regulatory advice.</dc:description>
  <cp:lastModifiedBy>Innovast Sdn Bhd</cp:lastModifiedBy>
  <cp:revision>1</cp:revision>
  <dcterms:created xsi:type="dcterms:W3CDTF">2026-07-29T04:16:47.295Z</dcterms:created>
  <dcterms:modified xsi:type="dcterms:W3CDTF">2026-07-29T04:16:47.295Z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