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46"/>
        <w:tblBorders>
          <w:top w:val="none"/>
          <w:left w:val="none"/>
          <w:bottom w:val="none"/>
          <w:right w:val="none"/>
          <w:insideH w:val="none"/>
          <w:insideV w:val="none"/>
        </w:tblBorders>
      </w:tblPr>
      <w:tblGrid>
        <w:gridCol w:w="8046"/>
        <w:gridCol w:w="1700"/>
      </w:tblGrid>
      <w:tr>
        <w:trPr>
          <w:cantSplit/>
          <w:trHeight w:val="80" w:hRule="exact"/>
        </w:trPr>
        <w:tc>
          <w:tcPr>
            <w:tcW w:type="dxa" w:w="8046"/>
            <w:tcBorders>
              <w:top w:val="none"/>
              <w:left w:val="none"/>
              <w:bottom w:val="none"/>
              <w:right w:val="none"/>
            </w:tcBorders>
            <w:shd w:fill="38B0F8" w:val="clear"/>
            <w:tcMar>
              <w:top w:type="dxa" w:w="0"/>
              <w:left w:type="dxa" w:w="0"/>
              <w:bottom w:type="dxa" w:w="0"/>
              <w:right w:type="dxa" w:w="0"/>
            </w:tcMar>
          </w:tcPr>
          <w:p>
            <w:pPr>
              <w:spacing w:after="0" w:line="40" w:lineRule="exact"/>
            </w:pPr>
            <w:r>
              <w:rPr>
                <w:sz w:val="2"/>
                <w:szCs w:val="2"/>
              </w:rPr>
              <w:t xml:space="preserve"/>
            </w:r>
          </w:p>
        </w:tc>
        <w:tc>
          <w:tcPr>
            <w:tcW w:type="dxa" w:w="1700"/>
            <w:tcBorders>
              <w:top w:val="none"/>
              <w:left w:val="none"/>
              <w:bottom w:val="none"/>
              <w:right w:val="none"/>
            </w:tcBorders>
            <w:shd w:fill="F89048" w:val="clear"/>
            <w:tcMar>
              <w:top w:type="dxa" w:w="0"/>
              <w:left w:type="dxa" w:w="0"/>
              <w:bottom w:type="dxa" w:w="0"/>
              <w:right w:type="dxa" w:w="0"/>
            </w:tcMar>
          </w:tcPr>
          <w:p>
            <w:pPr>
              <w:spacing w:after="0" w:line="40" w:lineRule="exact"/>
            </w:pPr>
            <w:r>
              <w:rPr>
                <w:sz w:val="2"/>
                <w:szCs w:val="2"/>
              </w:rPr>
              <w:t xml:space="preserve"/>
            </w:r>
          </w:p>
        </w:tc>
      </w:tr>
    </w:tbl>
    <w:p>
      <w:pPr>
        <w:spacing w:after="320"/>
      </w:pPr>
      <w:r>
        <w:rPr>
          <w:sz w:val="2"/>
          <w:szCs w:val="2"/>
        </w:rPr>
        <w:t xml:space="preserve"/>
      </w:r>
    </w:p>
    <w:p>
      <w:pPr>
        <w:spacing w:after="420"/>
      </w:pPr>
      <w:r>
        <w:drawing>
          <wp:inline distT="0" distB="0" distL="0" distR="0">
            <wp:extent cx="1905000" cy="485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905000" cy="485775"/>
                    </a:xfrm>
                    <a:prstGeom prst="rect">
                      <a:avLst/>
                    </a:prstGeom>
                  </pic:spPr>
                </pic:pic>
              </a:graphicData>
            </a:graphic>
          </wp:inline>
        </w:drawing>
      </w:r>
    </w:p>
    <w:p>
      <w:pPr>
        <w:spacing w:after="60" w:before="700"/>
      </w:pPr>
      <w:r>
        <w:rPr>
          <w:rFonts w:ascii="Poppins" w:cs="Poppins" w:eastAsia="Poppins" w:hAnsi="Poppins"/>
          <w:b/>
          <w:bCs/>
          <w:color w:val="F89048"/>
          <w:spacing w:val="20"/>
          <w:sz w:val="20"/>
          <w:szCs w:val="20"/>
        </w:rPr>
        <w:t xml:space="preserve">EECA 2024 EnMS STARTER PACK</w:t>
      </w:r>
    </w:p>
    <w:p>
      <w:pPr>
        <w:spacing w:after="100"/>
      </w:pPr>
      <w:r>
        <w:rPr>
          <w:rFonts w:ascii="Poppins" w:cs="Poppins" w:eastAsia="Poppins" w:hAnsi="Poppins"/>
          <w:b/>
          <w:bCs/>
          <w:color w:val="6B7280"/>
          <w:sz w:val="20"/>
          <w:szCs w:val="20"/>
        </w:rPr>
        <w:t xml:space="preserve">C12 · EE&amp;C REPORT SKELETON</w:t>
      </w:r>
    </w:p>
    <w:p>
      <w:pPr>
        <w:spacing w:after="160"/>
      </w:pPr>
      <w:r>
        <w:rPr>
          <w:rFonts w:ascii="Poppins" w:cs="Poppins" w:eastAsia="Poppins" w:hAnsi="Poppins"/>
          <w:b/>
          <w:bCs/>
          <w:color w:val="111827"/>
          <w:sz w:val="52"/>
          <w:szCs w:val="52"/>
        </w:rPr>
        <w:t xml:space="preserve">EE&amp;C Report Skeleton</w:t>
      </w:r>
    </w:p>
    <w:p>
      <w:pPr>
        <w:pBdr>
          <w:top w:val="single" w:color="38B0F8" w:sz="18" w:space="8"/>
        </w:pBdr>
        <w:spacing w:after="200"/>
      </w:pPr>
      <w:r>
        <w:rPr>
          <w:rFonts w:ascii="Inter" w:cs="Inter" w:eastAsia="Inter" w:hAnsi="Inter"/>
          <w:color w:val="4B5563"/>
          <w:sz w:val="24"/>
          <w:szCs w:val="24"/>
        </w:rPr>
        <w:t xml:space="preserve">The annual Energy Efficiency and Conservation report content, assembled in the GP/ST/No.45/2024 structure — ready for the Commission’s online system</w:t>
      </w:r>
    </w:p>
    <w:p>
      <w:pPr>
        <w:spacing w:after="360" w:line="320"/>
        <w:jc w:val="both"/>
      </w:pPr>
      <w:r>
        <w:rPr>
          <w:rFonts w:ascii="Inter" w:cs="Inter" w:eastAsia="Inter" w:hAnsi="Inter"/>
          <w:color w:val="1F2937"/>
          <w:sz w:val="20"/>
          <w:szCs w:val="20"/>
        </w:rPr>
        <w:t xml:space="preserve">The EE&amp;C report is prepared by the REM (s.7(1), Act 861) and submitted by the energy consumer through the Commission’s online system (s.7(2); GP45 para. 5). This skeleton mirrors the GP45 para. 4.1 structure so the data pack is complete before anyone logs in — the online system is a place to enter a finished report, not to discover what is missing.</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2100"/>
        <w:gridCol w:w="900"/>
        <w:gridCol w:w="1750"/>
        <w:gridCol w:w="2300"/>
        <w:gridCol w:w="2696"/>
      </w:tblGrid>
      <w:tr>
        <w:trPr>
          <w:cantSplit/>
        </w:trPr>
        <w:tc>
          <w:tcPr>
            <w:tcW w:type="dxa" w:w="21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DOCUMENT NO.</w:t>
            </w:r>
          </w:p>
          <w:p>
            <w:pPr>
              <w:spacing w:after="0" w:line="240"/>
            </w:pPr>
            <w:r>
              <w:rPr>
                <w:rFonts w:ascii="Inter" w:cs="Inter" w:eastAsia="Inter" w:hAnsi="Inter"/>
                <w:color w:val="111827"/>
                <w:sz w:val="18"/>
                <w:szCs w:val="18"/>
              </w:rPr>
              <w:t xml:space="preserve">INV-ENMS-C12</w:t>
            </w:r>
          </w:p>
        </w:tc>
        <w:tc>
          <w:tcPr>
            <w:tcW w:type="dxa" w:w="9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REV</w:t>
            </w:r>
          </w:p>
          <w:p>
            <w:pPr>
              <w:spacing w:after="0" w:line="240"/>
            </w:pPr>
            <w:r>
              <w:rPr>
                <w:rFonts w:ascii="Inter" w:cs="Inter" w:eastAsia="Inter" w:hAnsi="Inter"/>
                <w:color w:val="111827"/>
                <w:sz w:val="18"/>
                <w:szCs w:val="18"/>
              </w:rPr>
              <w:t xml:space="preserve">1.0</w:t>
            </w:r>
          </w:p>
        </w:tc>
        <w:tc>
          <w:tcPr>
            <w:tcW w:type="dxa" w:w="175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ISSUE DATE</w:t>
            </w:r>
          </w:p>
          <w:p>
            <w:pPr>
              <w:spacing w:after="0" w:line="240"/>
            </w:pPr>
            <w:r>
              <w:rPr>
                <w:rFonts w:ascii="Inter" w:cs="Inter" w:eastAsia="Inter" w:hAnsi="Inter"/>
                <w:color w:val="111827"/>
                <w:sz w:val="18"/>
                <w:szCs w:val="18"/>
              </w:rPr>
              <w:t xml:space="preserve">29 July 2026</w:t>
            </w:r>
          </w:p>
        </w:tc>
        <w:tc>
          <w:tcPr>
            <w:tcW w:type="dxa" w:w="23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PREPARED BY</w:t>
            </w:r>
          </w:p>
          <w:p>
            <w:pPr>
              <w:spacing w:after="0" w:line="240"/>
            </w:pPr>
            <w:r>
              <w:rPr>
                <w:rFonts w:ascii="Inter" w:cs="Inter" w:eastAsia="Inter" w:hAnsi="Inter"/>
                <w:color w:val="111827"/>
                <w:sz w:val="18"/>
                <w:szCs w:val="18"/>
              </w:rPr>
              <w:t xml:space="preserve">Innovast Sdn Bhd</w:t>
            </w:r>
          </w:p>
        </w:tc>
        <w:tc>
          <w:tcPr>
            <w:tcW w:type="dxa" w:w="2696"/>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APPROVED BY</w:t>
            </w:r>
          </w:p>
          <w:p>
            <w:pPr>
              <w:spacing w:after="0" w:line="240"/>
            </w:pPr>
            <w:r>
              <w:rPr>
                <w:rFonts w:ascii="Inter" w:cs="Inter" w:eastAsia="Inter" w:hAnsi="Inter"/>
                <w:color w:val="111827"/>
                <w:sz w:val="18"/>
                <w:szCs w:val="18"/>
              </w:rPr>
              <w:t xml:space="preserve">Anslem Lim, CEO</w:t>
            </w:r>
          </w:p>
        </w:tc>
      </w:tr>
    </w:tbl>
    <w:p>
      <w:pPr>
        <w:spacing w:after="260" w:before="80"/>
        <w:jc w:val="both"/>
      </w:pPr>
      <w:r>
        <w:rPr>
          <w:rFonts w:ascii="Inter" w:cs="Inter" w:eastAsia="Inter" w:hAnsi="Inter"/>
          <w:i/>
          <w:iCs/>
          <w:color w:val="6B7280"/>
          <w:sz w:val="16"/>
          <w:szCs w:val="16"/>
        </w:rPr>
        <w:t xml:space="preserve">Rev 1.0 · issued 29 July 2026 · regulatory sources last verified 18 July 2026.</w:t>
      </w:r>
    </w:p>
    <w:tbl>
      <w:tblPr>
        <w:tblW w:type="dxa" w:w="9746"/>
        <w:tblBorders>
          <w:top w:val="single" w:color="E5E7EB" w:sz="4"/>
          <w:left w:val="single" w:color="F89048" w:sz="24"/>
          <w:bottom w:val="single" w:color="E5E7EB" w:sz="4"/>
          <w:right w:val="single" w:color="E5E7EB" w:sz="4"/>
          <w:insideH w:val="none"/>
          <w:insideV w:val="none"/>
        </w:tblBorders>
      </w:tblPr>
      <w:tblGrid>
        <w:gridCol w:w="9746"/>
      </w:tblGrid>
      <w:tr>
        <w:trPr>
          <w:cantSplit/>
        </w:trPr>
        <w:tc>
          <w:tcPr>
            <w:tcW w:type="dxa" w:w="9746"/>
            <w:shd w:fill="F9FAFB" w:val="clear"/>
            <w:tcMar>
              <w:top w:type="dxa" w:w="140"/>
              <w:left w:type="dxa" w:w="200"/>
              <w:bottom w:type="dxa" w:w="140"/>
              <w:right w:type="dxa" w:w="200"/>
            </w:tcMar>
          </w:tcPr>
          <w:p>
            <w:pPr>
              <w:spacing w:after="0" w:line="260"/>
              <w:jc w:val="both"/>
            </w:pPr>
            <w:r>
              <w:rPr>
                <w:rFonts w:ascii="Inter" w:cs="Inter" w:eastAsia="Inter" w:hAnsi="Inter"/>
                <w:b/>
                <w:bCs/>
                <w:color w:val="111827"/>
                <w:sz w:val="18"/>
                <w:szCs w:val="18"/>
              </w:rPr>
              <w:t xml:space="preserve">DRAFT FOR ADAPTATION</w:t>
            </w:r>
            <w:r>
              <w:rPr>
                <w:rFonts w:ascii="Inter" w:cs="Inter" w:eastAsia="Inter" w:hAnsi="Inter"/>
                <w:color w:val="4B5563"/>
                <w:sz w:val="18"/>
                <w:szCs w:val="18"/>
              </w:rPr>
              <w:t xml:space="preserve"> — this template is not regulatory advice. Prepared with reference to GP/ST/No.46/2024 (Guidelines on Energy Management System), the Energy Efficiency and Conservation Act 2024 [Act 861] and the Energy Efficiency and Conservation Regulations 2024 [P.U.(A) 466/2024]; sources last verified 18 July 2026. Adapt every field to your organisation before use. Only Suruhanjaya Tenaga can determine compliance with the Act.</w:t>
            </w:r>
          </w:p>
        </w:tc>
      </w:tr>
    </w:tbl>
    <w:p>
      <w:r>
        <w:br w:type="page"/>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1</w:t>
      </w:r>
      <w:r>
        <w:rPr>
          <w:rFonts w:ascii="Poppins" w:cs="Poppins" w:eastAsia="Poppins" w:hAnsi="Poppins"/>
          <w:sz w:val="30"/>
          <w:szCs w:val="30"/>
        </w:rPr>
        <w:tab/>
      </w:r>
      <w:r>
        <w:rPr>
          <w:rFonts w:ascii="Poppins" w:cs="Poppins" w:eastAsia="Poppins" w:hAnsi="Poppins"/>
          <w:b/>
          <w:bCs/>
          <w:color w:val="111827"/>
          <w:sz w:val="30"/>
          <w:szCs w:val="30"/>
        </w:rPr>
        <w:t xml:space="preserve">Timing and roles</w:t>
      </w:r>
    </w:p>
    <w:p>
      <w:pPr>
        <w:pStyle w:val="ListParagraph"/>
        <w:numPr>
          <w:ilvl w:val="0"/>
          <w:numId w:val="2"/>
        </w:numPr>
        <w:spacing w:after="90" w:line="290"/>
        <w:jc w:val="both"/>
      </w:pPr>
      <w:r>
        <w:rPr>
          <w:rFonts w:ascii="Inter" w:cs="Inter" w:eastAsia="Inter" w:hAnsi="Inter"/>
          <w:b/>
          <w:bCs/>
          <w:color w:val="1F2937"/>
          <w:sz w:val="20"/>
          <w:szCs w:val="20"/>
        </w:rPr>
        <w:t xml:space="preserve">First report: </w:t>
      </w:r>
      <w:r>
        <w:rPr>
          <w:rFonts w:ascii="Inter" w:cs="Inter" w:eastAsia="Inter" w:hAnsi="Inter"/>
          <w:color w:val="1F2937"/>
          <w:sz w:val="20"/>
          <w:szCs w:val="20"/>
        </w:rPr>
        <w:t xml:space="preserve">within 30 days after the expiry of one year from the REM appointment date (reg 9(a)). Subsequent reports: annually, within 30 days after each successive appointment anniversary — the cycle illustrated in the GP45 Figure 1 submission timeline (para. 3.2); reg 9(b) is quoted verbatim in C4 row D3.</w:t>
      </w:r>
    </w:p>
    <w:p>
      <w:pPr>
        <w:pStyle w:val="ListParagraph"/>
        <w:numPr>
          <w:ilvl w:val="0"/>
          <w:numId w:val="2"/>
        </w:numPr>
        <w:spacing w:after="90" w:line="290"/>
        <w:jc w:val="both"/>
      </w:pPr>
      <w:r>
        <w:rPr>
          <w:rFonts w:ascii="Inter" w:cs="Inter" w:eastAsia="Inter" w:hAnsi="Inter"/>
          <w:b/>
          <w:bCs/>
          <w:color w:val="1F2937"/>
          <w:sz w:val="20"/>
          <w:szCs w:val="20"/>
        </w:rPr>
        <w:t xml:space="preserve">The REM prepares and answers for accuracy </w:t>
      </w:r>
      <w:r>
        <w:rPr>
          <w:rFonts w:ascii="Inter" w:cs="Inter" w:eastAsia="Inter" w:hAnsi="Inter"/>
          <w:color w:val="1F2937"/>
          <w:sz w:val="20"/>
          <w:szCs w:val="20"/>
        </w:rPr>
        <w:t xml:space="preserve">(s.5(2)(d)–(e); s.7(1); penalty s.7(3)); </w:t>
      </w:r>
      <w:r>
        <w:rPr>
          <w:rFonts w:ascii="Inter" w:cs="Inter" w:eastAsia="Inter" w:hAnsi="Inter"/>
          <w:b/>
          <w:bCs/>
          <w:color w:val="1F2937"/>
          <w:sz w:val="20"/>
          <w:szCs w:val="20"/>
        </w:rPr>
        <w:t xml:space="preserve">the consumer submits</w:t>
      </w:r>
      <w:r>
        <w:rPr>
          <w:rFonts w:ascii="Inter" w:cs="Inter" w:eastAsia="Inter" w:hAnsi="Inter"/>
          <w:color w:val="1F2937"/>
          <w:sz w:val="20"/>
          <w:szCs w:val="20"/>
        </w:rPr>
        <w:t xml:space="preserve"> (s.7(2); penalty s.7(4)). GP45 Figure 1 draws the internal loop explicitly: the REM prepares and hands the report to the energy consumer, the consumer verifies the data, approves (then submits to the Commission) or rejects it back to the REM for rectification. Build that verification step into your calendar — both parties need the same evidence file, and this skeleton is it.</w:t>
      </w:r>
    </w:p>
    <w:p>
      <w:pPr>
        <w:pStyle w:val="ListParagraph"/>
        <w:numPr>
          <w:ilvl w:val="0"/>
          <w:numId w:val="2"/>
        </w:numPr>
        <w:spacing w:after="90" w:line="290"/>
        <w:jc w:val="both"/>
      </w:pPr>
      <w:r>
        <w:rPr>
          <w:rFonts w:ascii="Inter" w:cs="Inter" w:eastAsia="Inter" w:hAnsi="Inter"/>
          <w:b/>
          <w:bCs/>
          <w:color w:val="1F2937"/>
          <w:sz w:val="20"/>
          <w:szCs w:val="20"/>
        </w:rPr>
        <w:t xml:space="preserve">Confidentiality: </w:t>
      </w:r>
      <w:r>
        <w:rPr>
          <w:rFonts w:ascii="Inter" w:cs="Inter" w:eastAsia="Inter" w:hAnsi="Inter"/>
          <w:color w:val="1F2937"/>
          <w:sz w:val="20"/>
          <w:szCs w:val="20"/>
        </w:rPr>
        <w:t xml:space="preserve">GP45 para. 5 — information given in the report is kept strictly confidential by the Commission.</w:t>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2</w:t>
      </w:r>
      <w:r>
        <w:rPr>
          <w:rFonts w:ascii="Poppins" w:cs="Poppins" w:eastAsia="Poppins" w:hAnsi="Poppins"/>
          <w:sz w:val="30"/>
          <w:szCs w:val="30"/>
        </w:rPr>
        <w:tab/>
      </w:r>
      <w:r>
        <w:rPr>
          <w:rFonts w:ascii="Poppins" w:cs="Poppins" w:eastAsia="Poppins" w:hAnsi="Poppins"/>
          <w:b/>
          <w:bCs/>
          <w:color w:val="111827"/>
          <w:sz w:val="30"/>
          <w:szCs w:val="30"/>
        </w:rPr>
        <w:t xml:space="preserve">Report sections (GP45 para. 4.1) — the data pack</w:t>
      </w:r>
    </w:p>
    <w:p>
      <w:pPr>
        <w:keepNext/>
        <w:keepLines/>
        <w:spacing w:after="120" w:before="260"/>
      </w:pPr>
      <w:r>
        <w:rPr>
          <w:rFonts w:ascii="Poppins" w:cs="Poppins" w:eastAsia="Poppins" w:hAnsi="Poppins"/>
          <w:b/>
          <w:bCs/>
          <w:color w:val="1273AD"/>
          <w:sz w:val="24"/>
          <w:szCs w:val="24"/>
        </w:rPr>
        <w:t xml:space="preserve">2.1  Premise profile (GP45 para. 4.1.1)</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5414"/>
        <w:gridCol w:w="4332"/>
      </w:tblGrid>
      <w:tr>
        <w:trPr>
          <w:cantSplit/>
          <w:tblHeader/>
        </w:trPr>
        <w:tc>
          <w:tcPr>
            <w:tcW w:type="dxa" w:w="5414"/>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Item</w:t>
            </w:r>
          </w:p>
        </w:tc>
        <w:tc>
          <w:tcPr>
            <w:tcW w:type="dxa" w:w="4332"/>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Entry</w:t>
            </w:r>
          </w:p>
        </w:tc>
      </w:tr>
      <w:tr>
        <w:trPr>
          <w:cantSplit/>
        </w:trPr>
        <w:tc>
          <w:tcPr>
            <w:tcW w:type="dxa" w:w="541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Name of premise</w:t>
            </w:r>
          </w:p>
        </w:tc>
        <w:tc>
          <w:tcPr>
            <w:tcW w:type="dxa" w:w="433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541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Address of premise</w:t>
            </w:r>
          </w:p>
        </w:tc>
        <w:tc>
          <w:tcPr>
            <w:tcW w:type="dxa" w:w="433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541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Person in charge — name / designation / telephone / e-mail</w:t>
            </w:r>
          </w:p>
        </w:tc>
        <w:tc>
          <w:tcPr>
            <w:tcW w:type="dxa" w:w="433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541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REM — name / certificate of registration no. / practising certificate expiry / telephone / e-mail</w:t>
            </w:r>
          </w:p>
        </w:tc>
        <w:tc>
          <w:tcPr>
            <w:tcW w:type="dxa" w:w="433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541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Sector and subsector (GP45 Appendix B)</w:t>
            </w:r>
          </w:p>
        </w:tc>
        <w:tc>
          <w:tcPr>
            <w:tcW w:type="dxa" w:w="433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bl>
    <w:p>
      <w:pPr>
        <w:keepNext/>
        <w:keepLines/>
        <w:spacing w:after="120" w:before="260"/>
      </w:pPr>
      <w:r>
        <w:rPr>
          <w:rFonts w:ascii="Poppins" w:cs="Poppins" w:eastAsia="Poppins" w:hAnsi="Poppins"/>
          <w:b/>
          <w:bCs/>
          <w:color w:val="1273AD"/>
          <w:sz w:val="24"/>
          <w:szCs w:val="24"/>
        </w:rPr>
        <w:t xml:space="preserve">2.2  Energy information (GP45 para. 4.1.2)</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5414"/>
        <w:gridCol w:w="4332"/>
      </w:tblGrid>
      <w:tr>
        <w:trPr>
          <w:cantSplit/>
          <w:tblHeader/>
        </w:trPr>
        <w:tc>
          <w:tcPr>
            <w:tcW w:type="dxa" w:w="5414"/>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Item</w:t>
            </w:r>
          </w:p>
        </w:tc>
        <w:tc>
          <w:tcPr>
            <w:tcW w:type="dxa" w:w="4332"/>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Entry</w:t>
            </w:r>
          </w:p>
        </w:tc>
      </w:tr>
      <w:tr>
        <w:trPr>
          <w:cantSplit/>
        </w:trPr>
        <w:tc>
          <w:tcPr>
            <w:tcW w:type="dxa" w:w="541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Energy resources used (First Schedule) with UOM</w:t>
            </w:r>
          </w:p>
        </w:tc>
        <w:tc>
          <w:tcPr>
            <w:tcW w:type="dxa" w:w="433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541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Energy used (Second Schedule) with UOM</w:t>
            </w:r>
          </w:p>
        </w:tc>
        <w:tc>
          <w:tcPr>
            <w:tcW w:type="dxa" w:w="433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541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Energy supplier(s)</w:t>
            </w:r>
          </w:p>
        </w:tc>
        <w:tc>
          <w:tcPr>
            <w:tcW w:type="dxa" w:w="433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541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Account number(s)</w:t>
            </w:r>
          </w:p>
        </w:tc>
        <w:tc>
          <w:tcPr>
            <w:tcW w:type="dxa" w:w="433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541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Tariff category / categories</w:t>
            </w:r>
          </w:p>
        </w:tc>
        <w:tc>
          <w:tcPr>
            <w:tcW w:type="dxa" w:w="433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bl>
    <w:p>
      <w:pPr>
        <w:keepNext/>
        <w:keepLines/>
        <w:spacing w:after="120" w:before="260"/>
      </w:pPr>
      <w:r>
        <w:rPr>
          <w:rFonts w:ascii="Poppins" w:cs="Poppins" w:eastAsia="Poppins" w:hAnsi="Poppins"/>
          <w:b/>
          <w:bCs/>
          <w:color w:val="1273AD"/>
          <w:sz w:val="24"/>
          <w:szCs w:val="24"/>
        </w:rPr>
        <w:t xml:space="preserve">2.3  Premise operation information (GP45 para. 4.1.3)</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4873"/>
        <w:gridCol w:w="4873"/>
      </w:tblGrid>
      <w:tr>
        <w:trPr>
          <w:cantSplit/>
          <w:tblHeader/>
        </w:trPr>
        <w:tc>
          <w:tcPr>
            <w:tcW w:type="dxa" w:w="4873"/>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Commercial sector</w:t>
            </w:r>
          </w:p>
        </w:tc>
        <w:tc>
          <w:tcPr>
            <w:tcW w:type="dxa" w:w="4873"/>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Industry sector</w:t>
            </w:r>
          </w:p>
        </w:tc>
      </w:tr>
      <w:tr>
        <w:trPr>
          <w:cantSplit/>
        </w:trPr>
        <w:tc>
          <w:tcPr>
            <w:tcW w:type="dxa" w:w="4873"/>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GFA (m²) — per GP45 exclusions · air-conditioned area (m²) · data centre area (m²) · enclosed parking area (m²) · external corridor area (m²)</w:t>
            </w:r>
          </w:p>
        </w:tc>
        <w:tc>
          <w:tcPr>
            <w:tcW w:type="dxa" w:w="4873"/>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Types of product · product name(s) · UOM per product (GP45 Appendix B)</w:t>
            </w:r>
          </w:p>
        </w:tc>
      </w:tr>
    </w:tbl>
    <w:p>
      <w:pPr>
        <w:keepNext/>
        <w:keepLines/>
        <w:spacing w:after="120" w:before="260"/>
      </w:pPr>
      <w:r>
        <w:rPr>
          <w:rFonts w:ascii="Poppins" w:cs="Poppins" w:eastAsia="Poppins" w:hAnsi="Poppins"/>
          <w:b/>
          <w:bCs/>
          <w:color w:val="1273AD"/>
          <w:sz w:val="24"/>
          <w:szCs w:val="24"/>
        </w:rPr>
        <w:t xml:space="preserve">2.4  EnMS evidence (GP45 para. 4.1.4; Act s.7(1)(a))</w:t>
      </w:r>
    </w:p>
    <w:p>
      <w:pPr>
        <w:spacing w:after="140" w:line="300"/>
        <w:jc w:val="both"/>
      </w:pPr>
      <w:r>
        <w:rPr>
          <w:rFonts w:ascii="Inter" w:cs="Inter" w:eastAsia="Inter" w:hAnsi="Inter"/>
          <w:color w:val="1F2937"/>
          <w:sz w:val="20"/>
          <w:szCs w:val="20"/>
        </w:rPr>
        <w:t xml:space="preserve">The report describes the EnMS implemented. Attach or summarise: the </w:t>
      </w:r>
      <w:r>
        <w:rPr>
          <w:rFonts w:ascii="Inter" w:cs="Inter" w:eastAsia="Inter" w:hAnsi="Inter"/>
          <w:b/>
          <w:bCs/>
          <w:color w:val="1F2937"/>
          <w:sz w:val="20"/>
          <w:szCs w:val="20"/>
        </w:rPr>
        <w:t xml:space="preserve">Energy Management Policy</w:t>
      </w:r>
      <w:r>
        <w:rPr>
          <w:rFonts w:ascii="Inter" w:cs="Inter" w:eastAsia="Inter" w:hAnsi="Inter"/>
          <w:color w:val="1F2937"/>
          <w:sz w:val="20"/>
          <w:szCs w:val="20"/>
        </w:rPr>
        <w:t xml:space="preserve"> (C2 — signed, current) and the </w:t>
      </w:r>
      <w:r>
        <w:rPr>
          <w:rFonts w:ascii="Inter" w:cs="Inter" w:eastAsia="Inter" w:hAnsi="Inter"/>
          <w:b/>
          <w:bCs/>
          <w:color w:val="1F2937"/>
          <w:sz w:val="20"/>
          <w:szCs w:val="20"/>
        </w:rPr>
        <w:t xml:space="preserve">Energy Management Committee</w:t>
      </w:r>
      <w:r>
        <w:rPr>
          <w:rFonts w:ascii="Inter" w:cs="Inter" w:eastAsia="Inter" w:hAnsi="Inter"/>
          <w:color w:val="1F2937"/>
          <w:sz w:val="20"/>
          <w:szCs w:val="20"/>
        </w:rPr>
        <w:t xml:space="preserve"> (C3 — structure, membership, meeting record). The description should be consistent with what the minutes and matrix (C10) would show on inspection.</w:t>
      </w:r>
    </w:p>
    <w:p>
      <w:pPr>
        <w:keepNext/>
        <w:keepLines/>
        <w:spacing w:after="120" w:before="260"/>
      </w:pPr>
      <w:r>
        <w:rPr>
          <w:rFonts w:ascii="Poppins" w:cs="Poppins" w:eastAsia="Poppins" w:hAnsi="Poppins"/>
          <w:b/>
          <w:bCs/>
          <w:color w:val="1273AD"/>
          <w:sz w:val="24"/>
          <w:szCs w:val="24"/>
        </w:rPr>
        <w:t xml:space="preserve">2.5  Energy consumption data (GP45 para. 4.1.5)</w:t>
      </w:r>
    </w:p>
    <w:p>
      <w:pPr>
        <w:spacing w:after="140" w:line="300"/>
        <w:jc w:val="both"/>
      </w:pPr>
      <w:r>
        <w:rPr>
          <w:rFonts w:ascii="Inter" w:cs="Inter" w:eastAsia="Inter" w:hAnsi="Inter"/>
          <w:color w:val="1F2937"/>
          <w:sz w:val="20"/>
          <w:szCs w:val="20"/>
        </w:rPr>
        <w:t xml:space="preserve">Not less than twelve consecutive months per energy and energy resource, </w:t>
      </w:r>
      <w:r>
        <w:rPr>
          <w:rFonts w:ascii="Inter" w:cs="Inter" w:eastAsia="Inter" w:hAnsi="Inter"/>
          <w:b/>
          <w:bCs/>
          <w:color w:val="1F2937"/>
          <w:sz w:val="20"/>
          <w:szCs w:val="20"/>
        </w:rPr>
        <w:t xml:space="preserve">in the original billed UOM</w:t>
      </w:r>
      <w:r>
        <w:rPr>
          <w:rFonts w:ascii="Inter" w:cs="Inter" w:eastAsia="Inter" w:hAnsi="Inter"/>
          <w:color w:val="1F2937"/>
          <w:sz w:val="20"/>
          <w:szCs w:val="20"/>
        </w:rPr>
        <w:t xml:space="preserve"> — the online system converts to GJ automatically per GP45 Appendix A. Source: the C7 tracker "Consumption" sheet, verified against bills (GP47 para. 3(e)).</w:t>
      </w:r>
    </w:p>
    <w:p>
      <w:pPr>
        <w:keepNext/>
        <w:keepLines/>
        <w:spacing w:after="120" w:before="260"/>
      </w:pPr>
      <w:r>
        <w:rPr>
          <w:rFonts w:ascii="Poppins" w:cs="Poppins" w:eastAsia="Poppins" w:hAnsi="Poppins"/>
          <w:b/>
          <w:bCs/>
          <w:color w:val="1273AD"/>
          <w:sz w:val="24"/>
          <w:szCs w:val="24"/>
        </w:rPr>
        <w:t xml:space="preserve">2.6  Production and SEC — industry (GP45 para. 4.1.6)</w:t>
      </w:r>
    </w:p>
    <w:p>
      <w:pPr>
        <w:spacing w:after="140" w:line="300"/>
        <w:jc w:val="both"/>
      </w:pPr>
      <w:r>
        <w:rPr>
          <w:rFonts w:ascii="Inter" w:cs="Inter" w:eastAsia="Inter" w:hAnsi="Inter"/>
          <w:color w:val="1F2937"/>
          <w:sz w:val="20"/>
          <w:szCs w:val="20"/>
        </w:rPr>
        <w:t xml:space="preserve">Twelve months of production quantity per product with the POE used for each (single product → 100%; multiple products → POEs sum to 100% monthly). SEC is auto-calculated by the online system and includes non-production areas. Source: C6 Path A + C7 tracker.</w:t>
      </w:r>
    </w:p>
    <w:p>
      <w:pPr>
        <w:keepNext/>
        <w:keepLines/>
        <w:spacing w:after="120" w:before="260"/>
      </w:pPr>
      <w:r>
        <w:rPr>
          <w:rFonts w:ascii="Poppins" w:cs="Poppins" w:eastAsia="Poppins" w:hAnsi="Poppins"/>
          <w:b/>
          <w:bCs/>
          <w:color w:val="1273AD"/>
          <w:sz w:val="24"/>
          <w:szCs w:val="24"/>
        </w:rPr>
        <w:t xml:space="preserve">2.7  Variable data (GP45 para. 4.1.7)</w:t>
      </w:r>
    </w:p>
    <w:p>
      <w:pPr>
        <w:spacing w:after="140" w:line="300"/>
        <w:jc w:val="both"/>
      </w:pPr>
      <w:r>
        <w:rPr>
          <w:rFonts w:ascii="Inter" w:cs="Inter" w:eastAsia="Inter" w:hAnsi="Inter"/>
          <w:color w:val="1F2937"/>
          <w:sz w:val="20"/>
          <w:szCs w:val="20"/>
        </w:rPr>
        <w:t xml:space="preserve">Twelve months of the variables that move consumption (shutdown days, cooling degree days, occupancy rate, operating hours) — with the REM’s assessment of impact, by regression where useful. Source: C7 tracker "Variable Data" sheet.</w:t>
      </w:r>
    </w:p>
    <w:p>
      <w:pPr>
        <w:keepNext/>
        <w:keepLines/>
        <w:spacing w:after="120" w:before="260"/>
      </w:pPr>
      <w:r>
        <w:rPr>
          <w:rFonts w:ascii="Poppins" w:cs="Poppins" w:eastAsia="Poppins" w:hAnsi="Poppins"/>
          <w:b/>
          <w:bCs/>
          <w:color w:val="1273AD"/>
          <w:sz w:val="24"/>
          <w:szCs w:val="24"/>
        </w:rPr>
        <w:t xml:space="preserve">2.8  EIP — commercial (GP45 para. 4.1.8)</w:t>
      </w:r>
    </w:p>
    <w:p>
      <w:pPr>
        <w:spacing w:after="140" w:line="300"/>
        <w:jc w:val="both"/>
      </w:pPr>
      <w:r>
        <w:rPr>
          <w:rFonts w:ascii="Inter" w:cs="Inter" w:eastAsia="Inter" w:hAnsi="Inter"/>
          <w:color w:val="1F2937"/>
          <w:sz w:val="20"/>
          <w:szCs w:val="20"/>
        </w:rPr>
        <w:t xml:space="preserve">The online system computes EIP from the drivers the Commission determines (GFA, data-centre IT energy, occupancy, beds, rooms). Your job: clean monthly driver values, consistent with the GFA workings in C6 Path B.</w:t>
      </w:r>
    </w:p>
    <w:p>
      <w:pPr>
        <w:keepNext/>
        <w:keepLines/>
        <w:spacing w:after="120" w:before="260"/>
      </w:pPr>
      <w:r>
        <w:rPr>
          <w:rFonts w:ascii="Poppins" w:cs="Poppins" w:eastAsia="Poppins" w:hAnsi="Poppins"/>
          <w:b/>
          <w:bCs/>
          <w:color w:val="1273AD"/>
          <w:sz w:val="24"/>
          <w:szCs w:val="24"/>
        </w:rPr>
        <w:t xml:space="preserve">2.9  ESM (GP45 para. 4.1.9)</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1740"/>
        <w:gridCol w:w="5511"/>
        <w:gridCol w:w="2495"/>
      </w:tblGrid>
      <w:tr>
        <w:trPr>
          <w:cantSplit/>
          <w:tblHeader/>
        </w:trPr>
        <w:tc>
          <w:tcPr>
            <w:tcW w:type="dxa" w:w="174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Part</w:t>
            </w:r>
          </w:p>
        </w:tc>
        <w:tc>
          <w:tcPr>
            <w:tcW w:type="dxa" w:w="5511"/>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Content</w:t>
            </w:r>
          </w:p>
        </w:tc>
        <w:tc>
          <w:tcPr>
            <w:tcW w:type="dxa" w:w="2495"/>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Source</w:t>
            </w:r>
          </w:p>
        </w:tc>
      </w:tr>
      <w:tr>
        <w:trPr>
          <w:cantSplit/>
        </w:trPr>
        <w:tc>
          <w:tcPr>
            <w:tcW w:type="dxa" w:w="174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List of ESM</w:t>
            </w:r>
          </w:p>
        </w:tc>
        <w:tc>
          <w:tcPr>
            <w:tcW w:type="dxa" w:w="5511"/>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Every ESM with activity in the reporting period: category (Operation/System/Equipment), type, description, investment cost (RM), status (Proposed / Rejected / In Progress / Completed). A measure reported Completed in a previous report is not reported again.</w:t>
            </w:r>
          </w:p>
        </w:tc>
        <w:tc>
          <w:tcPr>
            <w:tcW w:type="dxa" w:w="2495"/>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C8 register — filter by status</w:t>
            </w:r>
          </w:p>
        </w:tc>
      </w:tr>
      <w:tr>
        <w:trPr>
          <w:cantSplit/>
        </w:trPr>
        <w:tc>
          <w:tcPr>
            <w:tcW w:type="dxa" w:w="174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Summary of Implemented ESM</w:t>
            </w:r>
          </w:p>
        </w:tc>
        <w:tc>
          <w:tcPr>
            <w:tcW w:type="dxa" w:w="5511"/>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Completed ESMs in the period: category, type, description, yearly savings (GJ and RM — estimate acceptable if a full year’s actual is not yet available), investment cost, SPP (= investment ÷ yearly savings cost, GP45 Eq. 3), month and year completed.</w:t>
            </w:r>
          </w:p>
        </w:tc>
        <w:tc>
          <w:tcPr>
            <w:tcW w:type="dxa" w:w="2495"/>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C8 register — verified savings column</w:t>
            </w:r>
          </w:p>
        </w:tc>
      </w:tr>
    </w:tbl>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3</w:t>
      </w:r>
      <w:r>
        <w:rPr>
          <w:rFonts w:ascii="Poppins" w:cs="Poppins" w:eastAsia="Poppins" w:hAnsi="Poppins"/>
          <w:sz w:val="30"/>
          <w:szCs w:val="30"/>
        </w:rPr>
        <w:tab/>
      </w:r>
      <w:r>
        <w:rPr>
          <w:rFonts w:ascii="Poppins" w:cs="Poppins" w:eastAsia="Poppins" w:hAnsi="Poppins"/>
          <w:b/>
          <w:bCs/>
          <w:color w:val="111827"/>
          <w:sz w:val="30"/>
          <w:szCs w:val="30"/>
        </w:rPr>
        <w:t xml:space="preserve">Pre-submission checklist</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580"/>
        <w:gridCol w:w="9166"/>
      </w:tblGrid>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0"/>
                <w:szCs w:val="20"/>
              </w:rPr>
              <w:t xml:space="preserve">☐</w:t>
            </w:r>
          </w:p>
        </w:tc>
        <w:tc>
          <w:tcPr>
            <w:tcW w:type="dxa" w:w="916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Twelve months of consumption complete, no gaps, verified against bills and invoices (GP47 para. 3(e))</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0"/>
                <w:szCs w:val="20"/>
              </w:rPr>
              <w:t xml:space="preserve">☐</w:t>
            </w:r>
          </w:p>
        </w:tc>
        <w:tc>
          <w:tcPr>
            <w:tcW w:type="dxa" w:w="916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POE totals 100% each month (industry) / driver data complete for every month (commercial)</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0"/>
                <w:szCs w:val="20"/>
              </w:rPr>
              <w:t xml:space="preserve">☐</w:t>
            </w:r>
          </w:p>
        </w:tc>
        <w:tc>
          <w:tcPr>
            <w:tcW w:type="dxa" w:w="916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Policy current and signed; Committee record up to date; management review held and minuted</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0"/>
                <w:szCs w:val="20"/>
              </w:rPr>
              <w:t xml:space="preserve">☐</w:t>
            </w:r>
          </w:p>
        </w:tc>
        <w:tc>
          <w:tcPr>
            <w:tcW w:type="dxa" w:w="916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ESM statuses reconciled with the C8 register; completed measures carry savings, cost, SPP, month/year</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0"/>
                <w:szCs w:val="20"/>
              </w:rPr>
              <w:t xml:space="preserve">☐</w:t>
            </w:r>
          </w:p>
        </w:tc>
        <w:tc>
          <w:tcPr>
            <w:tcW w:type="dxa" w:w="916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Proposed measures for the coming period entered (s.7(1)(c))</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0"/>
                <w:szCs w:val="20"/>
              </w:rPr>
              <w:t xml:space="preserve">☐</w:t>
            </w:r>
          </w:p>
        </w:tc>
        <w:tc>
          <w:tcPr>
            <w:tcW w:type="dxa" w:w="916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REM details current — registration and practising certificate not expired</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0"/>
                <w:szCs w:val="20"/>
              </w:rPr>
              <w:t xml:space="preserve">☐</w:t>
            </w:r>
          </w:p>
        </w:tc>
        <w:tc>
          <w:tcPr>
            <w:tcW w:type="dxa" w:w="916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Submission window computed from the REM appointment anniversary (C4 rows D2–D3); submitted via the online system; acknowledgement filed</w:t>
            </w:r>
          </w:p>
        </w:tc>
      </w:tr>
    </w:tbl>
    <w:tbl>
      <w:tblPr>
        <w:tblW w:type="dxa" w:w="9746"/>
        <w:tblBorders>
          <w:top w:val="single" w:color="E5E7EB" w:sz="4"/>
          <w:left w:val="single" w:color="00BF63" w:sz="24"/>
          <w:bottom w:val="single" w:color="E5E7EB" w:sz="4"/>
          <w:right w:val="single" w:color="E5E7EB" w:sz="4"/>
          <w:insideH w:val="none"/>
          <w:insideV w:val="none"/>
        </w:tblBorders>
      </w:tblPr>
      <w:tblGrid>
        <w:gridCol w:w="9746"/>
      </w:tblGrid>
      <w:tr>
        <w:trPr>
          <w:cantSplit/>
        </w:trPr>
        <w:tc>
          <w:tcPr>
            <w:tcW w:type="dxa" w:w="9746"/>
            <w:shd w:fill="F9FAFB" w:val="clear"/>
            <w:tcMar>
              <w:top w:type="dxa" w:w="140"/>
              <w:left w:type="dxa" w:w="200"/>
              <w:bottom w:type="dxa" w:w="140"/>
              <w:right w:type="dxa" w:w="200"/>
            </w:tcMar>
          </w:tcPr>
          <w:p>
            <w:pPr>
              <w:spacing w:after="0" w:line="280"/>
              <w:jc w:val="both"/>
            </w:pPr>
            <w:r>
              <w:rPr>
                <w:rFonts w:ascii="Inter" w:cs="Inter" w:eastAsia="Inter" w:hAnsi="Inter"/>
                <w:b/>
                <w:bCs/>
                <w:color w:val="111827"/>
                <w:sz w:val="20"/>
                <w:szCs w:val="20"/>
              </w:rPr>
              <w:t xml:space="preserve">The annual report is a by-product when the system runs all year. </w:t>
            </w:r>
            <w:r>
              <w:rPr>
                <w:rFonts w:ascii="Inter" w:cs="Inter" w:eastAsia="Inter" w:hAnsi="Inter"/>
                <w:color w:val="1F2937"/>
                <w:sz w:val="20"/>
                <w:szCs w:val="20"/>
              </w:rPr>
              <w:t xml:space="preserve">Innovast manages EE&amp;C report preparation and submission end to end, and InnoSense keeps the underlying dataset continuously ready. </w:t>
            </w:r>
            <w:r>
              <w:rPr>
                <w:rFonts w:ascii="Inter" w:cs="Inter" w:eastAsia="Inter" w:hAnsi="Inter"/>
                <w:b/>
                <w:bCs/>
                <w:color w:val="1273AD"/>
                <w:sz w:val="20"/>
                <w:szCs w:val="20"/>
              </w:rPr>
              <w:t xml:space="preserve">eeca2024.my · anslem@innovast.asia</w:t>
            </w:r>
          </w:p>
        </w:tc>
      </w:tr>
    </w:tbl>
    <w:p>
      <w:r>
        <w:br w:type="page"/>
      </w:r>
    </w:p>
    <w:p>
      <w:pPr>
        <w:keepNext/>
        <w:keepLines/>
        <w:pBdr>
          <w:bottom w:val="single" w:color="38B0F8" w:sz="12" w:space="4"/>
        </w:pBdr>
        <w:tabs>
          <w:tab w:val="left" w:pos="460"/>
        </w:tabs>
        <w:spacing w:after="180" w:before="320"/>
      </w:pPr>
      <w:r>
        <w:rPr>
          <w:rFonts w:ascii="Poppins" w:cs="Poppins" w:eastAsia="Poppins" w:hAnsi="Poppins"/>
          <w:b/>
          <w:bCs/>
          <w:color w:val="111827"/>
          <w:sz w:val="30"/>
          <w:szCs w:val="30"/>
        </w:rPr>
        <w:t xml:space="preserve">The complete Starter Pack</w:t>
      </w:r>
    </w:p>
    <w:p>
      <w:pPr>
        <w:spacing w:after="140" w:line="300"/>
        <w:jc w:val="both"/>
      </w:pPr>
      <w:r>
        <w:rPr>
          <w:rFonts w:ascii="Inter" w:cs="Inter" w:eastAsia="Inter" w:hAnsi="Inter"/>
          <w:color w:val="1F2937"/>
          <w:sz w:val="20"/>
          <w:szCs w:val="20"/>
        </w:rPr>
        <w:t xml:space="preserve">This document is one of thirteen working documents in the EECA 2024 EnMS Starter Pack — together they stand up an energy management system that follows GP/ST/No.46/2024 and the statutory duties of Act 861.</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700"/>
        <w:gridCol w:w="3300"/>
        <w:gridCol w:w="5746"/>
      </w:tblGrid>
      <w:tr>
        <w:trPr>
          <w:cantSplit/>
          <w:tblHeader/>
        </w:trPr>
        <w:tc>
          <w:tcPr>
            <w:tcW w:type="dxa" w:w="7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Code</w:t>
            </w:r>
          </w:p>
        </w:tc>
        <w:tc>
          <w:tcPr>
            <w:tcW w:type="dxa" w:w="33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Document</w:t>
            </w:r>
          </w:p>
        </w:tc>
        <w:tc>
          <w:tcPr>
            <w:tcW w:type="dxa" w:w="574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Use it to</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C0</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Pack Guide &amp; Compliance Clock</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Orient the team; diarise the statutory deadlines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EECA EnMS Gap Assessment Checklist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Score your current position (Yes / Partial / No) against every GP46 element and statutory duty; get a readiness band</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C2</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Energy Management Policy Template</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Draft the policy with the four GP46-mandatory commitments built in</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C3</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Committee &amp; Governance Kit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Appoint the management representative; constitute the Committee; run and minute the meetings and the annual management review</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C4</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Legal &amp; Obligations Register</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Hold every Act 861 / EECR duty with citation, deadline, penalty, owner and status — the legal-compliance evaluation GP46 para. 8.2(g) expects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C5</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REM Appointment Checklist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Choose internal vs external appointment; respect the tiering and the caps; manage the three-year window</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C6</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EnPI / EEI Worksheet (sector-selectable)</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Establish the baseline and indicator — SEC path for industry, BEI path for buildings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C7</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Energy Data Collection Plan + 12-Month Consumption Tracker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Plan and record the twelve months of consumption, generation and variable data GP46 requires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C8</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Action Plan &amp; ESM Register (docx +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Turn audit findings into a prioritised, costed, owned action plan with M&amp;V per ESM</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C9</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Communication, Awareness &amp; Training Plan</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Discharge GP46 para. 7.7–7.9 — communication matrix, motivation strategy, training programme</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C10</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EnMS Self-Evaluation Matrix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Run the GP46 para. 5.2.3(a) maturity self-evaluation at Committee formation and periodically after</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C11</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Work Procedure &amp; Log Sheet Starters</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Seed the operational controls — chiller plant and lighting examples to adapt</w:t>
            </w:r>
          </w:p>
        </w:tc>
      </w:tr>
      <w:tr>
        <w:trPr>
          <w:cantSplit/>
        </w:trPr>
        <w:tc>
          <w:tcPr>
            <w:tcW w:type="dxa" w:w="700"/>
            <w:shd w:fill="EAF6FE" w:val="clear"/>
            <w:tcMar>
              <w:top w:type="dxa" w:w="70"/>
              <w:left w:type="dxa" w:w="100"/>
              <w:bottom w:type="dxa" w:w="70"/>
              <w:right w:type="dxa" w:w="100"/>
            </w:tcMar>
            <w:vAlign w:val="top"/>
          </w:tcPr>
          <w:p>
            <w:pPr>
              <w:spacing w:after="0" w:line="260"/>
            </w:pPr>
            <w:r>
              <w:rPr>
                <w:rFonts w:ascii="Inter" w:cs="Inter" w:eastAsia="Inter" w:hAnsi="Inter"/>
                <w:b/>
                <w:bCs/>
                <w:color w:val="1273AD"/>
                <w:sz w:val="18"/>
                <w:szCs w:val="18"/>
              </w:rPr>
              <w:t xml:space="preserve">C12</w:t>
            </w:r>
          </w:p>
        </w:tc>
        <w:tc>
          <w:tcPr>
            <w:tcW w:type="dxa" w:w="3300"/>
            <w:shd w:fill="EAF6FE" w:val="clear"/>
            <w:tcMar>
              <w:top w:type="dxa" w:w="70"/>
              <w:left w:type="dxa" w:w="100"/>
              <w:bottom w:type="dxa" w:w="70"/>
              <w:right w:type="dxa" w:w="100"/>
            </w:tcMar>
            <w:vAlign w:val="top"/>
          </w:tcPr>
          <w:p>
            <w:pPr>
              <w:spacing w:after="0" w:line="260"/>
            </w:pPr>
            <w:r>
              <w:rPr>
                <w:rFonts w:ascii="Inter" w:cs="Inter" w:eastAsia="Inter" w:hAnsi="Inter"/>
                <w:b/>
                <w:bCs/>
                <w:color w:val="1F2937"/>
                <w:sz w:val="18"/>
                <w:szCs w:val="18"/>
              </w:rPr>
              <w:t xml:space="preserve">EE&amp;C Report Skeleton</w:t>
            </w:r>
          </w:p>
        </w:tc>
        <w:tc>
          <w:tcPr>
            <w:tcW w:type="dxa" w:w="5746"/>
            <w:shd w:fill="EAF6FE" w:val="clear"/>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Assemble the annual report content in the GP45 structure before entering it in the Commission’s online system  </w:t>
            </w:r>
            <w:r>
              <w:rPr>
                <w:rFonts w:ascii="Inter" w:cs="Inter" w:eastAsia="Inter" w:hAnsi="Inter"/>
                <w:b/>
                <w:bCs/>
                <w:color w:val="1273AD"/>
                <w:sz w:val="16"/>
                <w:szCs w:val="16"/>
              </w:rPr>
              <w:t xml:space="preserve">(this document)</w:t>
            </w:r>
          </w:p>
        </w:tc>
      </w:tr>
    </w:tbl>
    <w:p>
      <w:pPr>
        <w:spacing w:after="0" w:before="160"/>
        <w:jc w:val="left"/>
      </w:pPr>
      <w:r>
        <w:rPr>
          <w:rFonts w:ascii="Inter" w:cs="Inter" w:eastAsia="Inter" w:hAnsi="Inter"/>
          <w:b/>
          <w:bCs/>
          <w:color w:val="1F2937"/>
          <w:sz w:val="20"/>
          <w:szCs w:val="20"/>
        </w:rPr>
        <w:t xml:space="preserve">Get the complete pack, free:  </w:t>
      </w:r>
      <w:r>
        <w:rPr>
          <w:rFonts w:ascii="Inter" w:cs="Inter" w:eastAsia="Inter" w:hAnsi="Inter"/>
          <w:b/>
          <w:bCs/>
          <w:color w:val="1273AD"/>
          <w:sz w:val="20"/>
          <w:szCs w:val="20"/>
        </w:rPr>
        <w:t xml:space="preserve">eeca2024.my/enms-pack</w:t>
      </w:r>
      <w:r>
        <w:rPr>
          <w:rFonts w:ascii="Inter" w:cs="Inter" w:eastAsia="Inter" w:hAnsi="Inter"/>
          <w:color w:val="4B5563"/>
          <w:sz w:val="19"/>
          <w:szCs w:val="19"/>
        </w:rPr>
        <w:t xml:space="preserve">   ·   anslem@innovast.asia   ·   +60 12 355 6214</w:t>
      </w:r>
    </w:p>
    <w:sectPr>
      <w:headerReference w:type="default" r:id="rId7"/>
      <w:headerReference w:type="first" r:id="rId8"/>
      <w:footerReference w:type="default" r:id="rId9"/>
      <w:footerReference w:type="first" r:id="rId10"/>
      <w:pgSz w:w="11906" w:h="16838"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swiss"/>
    <w:pitch w:val="variable"/>
    <w:embedRegular r:id="rIdFont1" w:fontKey="{ABD44595-2718-42A9-BB0E-43DEF97AA74A}"/>
    <w:embedBold r:id="rIdFont2" w:fontKey="{F0C2E76E-A8AB-44A0-ADEA-0E3FFFB28684}"/>
  </w:font>
  <w:font w:name="Inter">
    <w:charset w:val="00"/>
    <w:family w:val="swiss"/>
    <w:pitch w:val="variable"/>
    <w:embedRegular r:id="rIdFont3" w:fontKey="{056F880A-8088-4176-BF54-2A53572E25F9}"/>
    <w:embedBold r:id="rIdFont4" w:fontKey="{275DD6CB-F173-4BD9-8E1E-FAC4FE735B3A}"/>
    <w:embedItalic r:id="rIdFont5" w:fontKey="{A18F1908-02E8-4DB0-A702-5FD79A65E40D}"/>
    <w:embedBoldItalic r:id="rIdFont6" w:fontKey="{41548844-353E-49D4-90FC-C5243452CC6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4" w:space="3"/>
      </w:pBdr>
      <w:tabs>
        <w:tab w:val="right" w:pos="9746"/>
      </w:tabs>
      <w:spacing w:after="20"/>
    </w:pPr>
    <w:r>
      <w:rPr>
        <w:rFonts w:ascii="Inter" w:cs="Inter" w:eastAsia="Inter" w:hAnsi="Inter"/>
        <w:color w:val="6B7280"/>
        <w:sz w:val="15"/>
        <w:szCs w:val="15"/>
      </w:rPr>
      <w:t xml:space="preserve">INV-ENMS-C12 · Rev 1.0 · Draft for adaptation</w:t>
    </w:r>
    <w:r>
      <w:rPr>
        <w:rFonts w:ascii="Inter" w:cs="Inter" w:eastAsia="Inter" w:hAnsi="Inter"/>
        <w:sz w:val="15"/>
        <w:szCs w:val="15"/>
      </w:rPr>
      <w:t xml:space="preserve">	</w:t>
    </w:r>
    <w:r>
      <w:rPr>
        <w:rFonts w:ascii="Inter" w:cs="Inter" w:eastAsia="Inter" w:hAnsi="Inter"/>
        <w:color w:val="6B7280"/>
        <w:sz w:val="15"/>
        <w:szCs w:val="15"/>
      </w:rPr>
      <w:t xml:space="preserve">Page </w:t>
    </w:r>
    <w:r>
      <w:rPr>
        <w:rFonts w:ascii="Inter" w:cs="Inter" w:eastAsia="Inter" w:hAnsi="Inter"/>
        <w:color w:val="6B7280"/>
        <w:sz w:val="15"/>
        <w:szCs w:val="15"/>
      </w:rPr>
      <w:fldChar w:fldCharType="begin"/>
      <w:instrText xml:space="preserve">PAGE</w:instrText>
      <w:fldChar w:fldCharType="separate"/>
      <w:fldChar w:fldCharType="end"/>
    </w:r>
    <w:r>
      <w:rPr>
        <w:rFonts w:ascii="Inter" w:cs="Inter" w:eastAsia="Inter" w:hAnsi="Inter"/>
        <w:color w:val="6B7280"/>
        <w:sz w:val="15"/>
        <w:szCs w:val="15"/>
      </w:rPr>
      <w:t xml:space="preserve"> of </w:t>
    </w:r>
    <w:r>
      <w:rPr>
        <w:rFonts w:ascii="Inter" w:cs="Inter" w:eastAsia="Inter" w:hAnsi="Inter"/>
        <w:color w:val="6B7280"/>
        <w:sz w:val="15"/>
        <w:szCs w:val="15"/>
      </w:rPr>
      <w:fldChar w:fldCharType="begin"/>
      <w:instrText xml:space="preserve">NUMPAGES</w:instrText>
      <w:fldChar w:fldCharType="separate"/>
      <w:fldChar w:fldCharType="end"/>
    </w:r>
  </w:p>
  <w:p>
    <w:pPr>
      <w:jc w:val="center"/>
    </w:pPr>
    <w:r>
      <w:rPr>
        <w:rFonts w:ascii="Inter" w:cs="Inter" w:eastAsia="Inter" w:hAnsi="Inter"/>
        <w:color w:val="6B7280"/>
        <w:sz w:val="15"/>
        <w:szCs w:val="15"/>
      </w:rPr>
      <w:t xml:space="preserve">Innovast Sdn Bhd · Licensed ESCO · Registered with Suruhanjaya Tenaga (Energy Commission Malaysia)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4" w:space="6"/>
      </w:pBdr>
      <w:spacing w:after="40"/>
    </w:pPr>
    <w:r>
      <w:rPr>
        <w:rFonts w:ascii="Poppins" w:cs="Poppins" w:eastAsia="Poppins" w:hAnsi="Poppins"/>
        <w:b/>
        <w:bCs/>
        <w:color w:val="111827"/>
        <w:sz w:val="21"/>
        <w:szCs w:val="21"/>
      </w:rPr>
      <w:t xml:space="preserve">Innovast Sdn Bhd</w:t>
    </w:r>
  </w:p>
  <w:p>
    <w:pPr>
      <w:spacing w:after="20"/>
    </w:pPr>
    <w:r>
      <w:rPr>
        <w:rFonts w:ascii="Inter" w:cs="Inter" w:eastAsia="Inter" w:hAnsi="Inter"/>
        <w:color w:val="4B5563"/>
        <w:sz w:val="18"/>
        <w:szCs w:val="18"/>
      </w:rPr>
      <w:t xml:space="preserve">Licensed Energy Service Company (ESCO) · ESCO Reg. No. ESCO 327(2023)/76/2024</w:t>
    </w:r>
  </w:p>
  <w:p>
    <w:pPr>
      <w:spacing w:after="20"/>
    </w:pPr>
    <w:r>
      <w:rPr>
        <w:rFonts w:ascii="Inter" w:cs="Inter" w:eastAsia="Inter" w:hAnsi="Inter"/>
        <w:color w:val="4B5563"/>
        <w:sz w:val="18"/>
        <w:szCs w:val="18"/>
      </w:rPr>
      <w:t xml:space="preserve">Company Reg. No. 202201012221 (1457918-M) · Registered with Suruhanjaya Tenaga · SEDA Recognised</w:t>
    </w:r>
  </w:p>
  <w:p>
    <w:pPr>
      <w:spacing w:after="0"/>
    </w:pPr>
    <w:r>
      <w:rPr>
        <w:rFonts w:ascii="Inter" w:cs="Inter" w:eastAsia="Inter" w:hAnsi="Inter"/>
        <w:color w:val="1273AD"/>
        <w:sz w:val="18"/>
        <w:szCs w:val="18"/>
      </w:rPr>
      <w:t xml:space="preserve">www.innovast.asia · anslem@innovast.asia · +60 12 355 6214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4" w:space="3"/>
      </w:pBdr>
      <w:tabs>
        <w:tab w:val="right" w:pos="9746"/>
      </w:tabs>
    </w:pPr>
    <w:r>
      <w:drawing>
        <wp:inline distT="0" distB="0" distL="0" distR="0">
          <wp:extent cx="85725" cy="152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85725" cy="152400"/>
                  </a:xfrm>
                  <a:prstGeom prst="rect">
                    <a:avLst/>
                  </a:prstGeom>
                </pic:spPr>
              </pic:pic>
            </a:graphicData>
          </a:graphic>
        </wp:inline>
      </w:drawing>
    </w:r>
    <w:r>
      <w:rPr>
        <w:rFonts w:ascii="Poppins" w:cs="Poppins" w:eastAsia="Poppins" w:hAnsi="Poppins"/>
        <w:b/>
        <w:bCs/>
        <w:color w:val="6B7280"/>
        <w:sz w:val="16"/>
        <w:szCs w:val="16"/>
      </w:rPr>
      <w:t xml:space="preserve">  EECA 2024 EnMS Starter Pack</w:t>
    </w:r>
    <w:r>
      <w:rPr>
        <w:rFonts w:ascii="Inter" w:cs="Inter" w:eastAsia="Inter" w:hAnsi="Inter"/>
        <w:color w:val="6B7280"/>
        <w:sz w:val="16"/>
        <w:szCs w:val="16"/>
      </w:rPr>
      <w:t xml:space="preserve">	C12 · EE&amp;C Report Skeleton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lvl w:ilvl="1" w15:tentative="1">
      <w:start w:val="1"/>
      <w:numFmt w:val="bullet"/>
      <w:lvlText w:val="·"/>
      <w:lvlJc w:val="left"/>
      <w:pPr>
        <w:ind w:left="700" w:hanging="200"/>
      </w:pPr>
    </w:lvl>
  </w:abstractNum>
  <w:abstractNum w:abstractNumId="3" w15:restartNumberingAfterBreak="0">
    <w:multiLevelType w:val="hybridMultilevel"/>
    <w:lvl w:ilvl="0" w15:tentative="1">
      <w:start w:val="1"/>
      <w:numFmt w:val="decimal"/>
      <w:lvlText w:val="%1."/>
      <w:lvlJc w:val="left"/>
      <w:pPr>
        <w:ind w:left="4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mbedTrueTypeFonts/>
  <w:saveSubsetFont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F2937"/>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6a3225be243d0684e64ffa8d8cda75a3f659697e.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 standalone="yes"?><Relationships xmlns="http://schemas.openxmlformats.org/package/2006/relationships"><Relationship Id="rIdFont1" Type="http://schemas.openxmlformats.org/officeDocument/2006/relationships/font" Target="fonts/font1.odttf"/><Relationship Id="rIdFont2" Type="http://schemas.openxmlformats.org/officeDocument/2006/relationships/font" Target="fonts/font2.odttf"/><Relationship Id="rIdFont3" Type="http://schemas.openxmlformats.org/officeDocument/2006/relationships/font" Target="fonts/font3.odttf"/><Relationship Id="rIdFont4" Type="http://schemas.openxmlformats.org/officeDocument/2006/relationships/font" Target="fonts/font4.odttf"/><Relationship Id="rIdFont5" Type="http://schemas.openxmlformats.org/officeDocument/2006/relationships/font" Target="fonts/font5.odttf"/><Relationship Id="rIdFont6" Type="http://schemas.openxmlformats.org/officeDocument/2006/relationships/font" Target="fonts/font6.odttf"/></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f7d3d510dd56c0f342def237bd02c91681dac2a.png"/></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C12 · EE&amp;C Report Skeleton — EECA 2024 EnMS Starter Pack</dc:title>
  <dc:subject>EECA 2024 EnMS Starter Pack — draft EnMS documentation for Malaysian designated energy consumers (GP/ST/No.46/2024; Act 861; P.U.(A) 466/2024)</dc:subject>
  <dc:creator>Anslem Lim</dc:creator>
  <cp:keywords>EECA 2024, Act 861, EnMS, GP/ST/No.46/2024, energy management, Innovast, Suruhanjaya Tenaga</cp:keywords>
  <dc:description>Prepared by Innovast Sdn Bhd, Licensed ESCO (ESCO 327(2023)/76/2024). Draft for adaptation — adapt to your organisation before use; not regulatory advice.</dc:description>
  <cp:lastModifiedBy>Innovast Sdn Bhd</cp:lastModifiedBy>
  <cp:revision>1</cp:revision>
  <dcterms:created xsi:type="dcterms:W3CDTF">2026-07-29T04:16:50.468Z</dcterms:created>
  <dcterms:modified xsi:type="dcterms:W3CDTF">2026-07-29T04:16:50.468Z</dcterms:modified>
</cp:coreProperties>
</file>

<file path=docProps/custom.xml><?xml version="1.0" encoding="utf-8"?>
<Properties xmlns="http://schemas.openxmlformats.org/officeDocument/2006/custom-properties" xmlns:vt="http://schemas.openxmlformats.org/officeDocument/2006/docPropsVTypes"/>
</file>