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746"/>
        <w:tblBorders>
          <w:top w:val="none"/>
          <w:left w:val="none"/>
          <w:bottom w:val="none"/>
          <w:right w:val="none"/>
          <w:insideH w:val="none"/>
          <w:insideV w:val="none"/>
        </w:tblBorders>
      </w:tblPr>
      <w:tblGrid>
        <w:gridCol w:w="8046"/>
        <w:gridCol w:w="1700"/>
      </w:tblGrid>
      <w:tr>
        <w:trPr>
          <w:cantSplit/>
          <w:trHeight w:val="80" w:hRule="exact"/>
        </w:trPr>
        <w:tc>
          <w:tcPr>
            <w:tcW w:type="dxa" w:w="8046"/>
            <w:tcBorders>
              <w:top w:val="none"/>
              <w:left w:val="none"/>
              <w:bottom w:val="none"/>
              <w:right w:val="none"/>
            </w:tcBorders>
            <w:shd w:fill="38B0F8" w:val="clear"/>
            <w:tcMar>
              <w:top w:type="dxa" w:w="0"/>
              <w:left w:type="dxa" w:w="0"/>
              <w:bottom w:type="dxa" w:w="0"/>
              <w:right w:type="dxa" w:w="0"/>
            </w:tcMar>
          </w:tcPr>
          <w:p>
            <w:pPr>
              <w:spacing w:after="0" w:line="40" w:lineRule="exact"/>
            </w:pPr>
            <w:r>
              <w:rPr>
                <w:sz w:val="2"/>
                <w:szCs w:val="2"/>
              </w:rPr>
              <w:t xml:space="preserve"/>
            </w:r>
          </w:p>
        </w:tc>
        <w:tc>
          <w:tcPr>
            <w:tcW w:type="dxa" w:w="1700"/>
            <w:tcBorders>
              <w:top w:val="none"/>
              <w:left w:val="none"/>
              <w:bottom w:val="none"/>
              <w:right w:val="none"/>
            </w:tcBorders>
            <w:shd w:fill="F89048" w:val="clear"/>
            <w:tcMar>
              <w:top w:type="dxa" w:w="0"/>
              <w:left w:type="dxa" w:w="0"/>
              <w:bottom w:type="dxa" w:w="0"/>
              <w:right w:type="dxa" w:w="0"/>
            </w:tcMar>
          </w:tcPr>
          <w:p>
            <w:pPr>
              <w:spacing w:after="0" w:line="40" w:lineRule="exact"/>
            </w:pPr>
            <w:r>
              <w:rPr>
                <w:sz w:val="2"/>
                <w:szCs w:val="2"/>
              </w:rPr>
              <w:t xml:space="preserve"/>
            </w:r>
          </w:p>
        </w:tc>
      </w:tr>
    </w:tbl>
    <w:p>
      <w:pPr>
        <w:spacing w:after="320"/>
      </w:pPr>
      <w:r>
        <w:rPr>
          <w:sz w:val="2"/>
          <w:szCs w:val="2"/>
        </w:rPr>
        <w:t xml:space="preserve"/>
      </w:r>
    </w:p>
    <w:p>
      <w:pPr>
        <w:spacing w:after="420"/>
      </w:pPr>
      <w:r>
        <w:drawing>
          <wp:inline distT="0" distB="0" distL="0" distR="0">
            <wp:extent cx="1905000" cy="4857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1905000" cy="485775"/>
                    </a:xfrm>
                    <a:prstGeom prst="rect">
                      <a:avLst/>
                    </a:prstGeom>
                  </pic:spPr>
                </pic:pic>
              </a:graphicData>
            </a:graphic>
          </wp:inline>
        </w:drawing>
      </w:r>
    </w:p>
    <w:p>
      <w:pPr>
        <w:spacing w:after="60" w:before="700"/>
      </w:pPr>
      <w:r>
        <w:rPr>
          <w:rFonts w:ascii="Poppins" w:cs="Poppins" w:eastAsia="Poppins" w:hAnsi="Poppins"/>
          <w:b/>
          <w:bCs/>
          <w:color w:val="F89048"/>
          <w:spacing w:val="20"/>
          <w:sz w:val="20"/>
          <w:szCs w:val="20"/>
        </w:rPr>
        <w:t xml:space="preserve">EECA 2024 EnMS STARTER PACK</w:t>
      </w:r>
    </w:p>
    <w:p>
      <w:pPr>
        <w:spacing w:after="100"/>
      </w:pPr>
      <w:r>
        <w:rPr>
          <w:rFonts w:ascii="Poppins" w:cs="Poppins" w:eastAsia="Poppins" w:hAnsi="Poppins"/>
          <w:b/>
          <w:bCs/>
          <w:color w:val="6B7280"/>
          <w:sz w:val="20"/>
          <w:szCs w:val="20"/>
        </w:rPr>
        <w:t xml:space="preserve">C0 · PACK GUIDE</w:t>
      </w:r>
    </w:p>
    <w:p>
      <w:pPr>
        <w:spacing w:after="160"/>
      </w:pPr>
      <w:r>
        <w:rPr>
          <w:rFonts w:ascii="Poppins" w:cs="Poppins" w:eastAsia="Poppins" w:hAnsi="Poppins"/>
          <w:b/>
          <w:bCs/>
          <w:color w:val="111827"/>
          <w:sz w:val="52"/>
          <w:szCs w:val="52"/>
        </w:rPr>
        <w:t xml:space="preserve">Pack Guide &amp; Compliance Clock</w:t>
      </w:r>
    </w:p>
    <w:p>
      <w:pPr>
        <w:pBdr>
          <w:top w:val="single" w:color="38B0F8" w:sz="18" w:space="8"/>
        </w:pBdr>
        <w:spacing w:after="200"/>
      </w:pPr>
      <w:r>
        <w:rPr>
          <w:rFonts w:ascii="Inter" w:cs="Inter" w:eastAsia="Inter" w:hAnsi="Inter"/>
          <w:color w:val="4B5563"/>
          <w:sz w:val="24"/>
          <w:szCs w:val="24"/>
        </w:rPr>
        <w:t xml:space="preserve">How the EECA 2024 EnMS Starter Pack fits together — and the statutory deadlines that drive it</w:t>
      </w:r>
    </w:p>
    <w:p>
      <w:pPr>
        <w:spacing w:after="360" w:line="320"/>
        <w:jc w:val="both"/>
      </w:pPr>
      <w:r>
        <w:rPr>
          <w:rFonts w:ascii="Inter" w:cs="Inter" w:eastAsia="Inter" w:hAnsi="Inter"/>
          <w:color w:val="1F2937"/>
          <w:sz w:val="20"/>
          <w:szCs w:val="20"/>
        </w:rPr>
        <w:t xml:space="preserve">Start here. This guide maps every document in the pack to the requirements of the Guidelines on Energy Management System [GP/ST/No.46/2024] and the duties in the Energy Efficiency and Conservation Act 2024 [Act 861] and its Regulations, and sets out the compliance timeline that begins the day Suruhanjaya Tenaga’s written notice arrives.</w:t>
      </w:r>
    </w:p>
    <w:tbl>
      <w:tblPr>
        <w:tblW w:type="dxa" w:w="9746"/>
        <w:tblBorders>
          <w:top w:val="single" w:color="E5E7EB" w:sz="4"/>
          <w:left w:val="single" w:color="E5E7EB" w:sz="4"/>
          <w:bottom w:val="single" w:color="E5E7EB" w:sz="4"/>
          <w:right w:val="single" w:color="E5E7EB" w:sz="4"/>
          <w:insideH w:val="single" w:color="E5E7EB" w:sz="4"/>
          <w:insideV w:val="single" w:color="E5E7EB" w:sz="4"/>
        </w:tblBorders>
      </w:tblPr>
      <w:tblGrid>
        <w:gridCol w:w="2100"/>
        <w:gridCol w:w="900"/>
        <w:gridCol w:w="1750"/>
        <w:gridCol w:w="2300"/>
        <w:gridCol w:w="2696"/>
      </w:tblGrid>
      <w:tr>
        <w:trPr>
          <w:cantSplit/>
        </w:trPr>
        <w:tc>
          <w:tcPr>
            <w:tcW w:type="dxa" w:w="2100"/>
            <w:tcMar>
              <w:top w:type="dxa" w:w="90"/>
              <w:left w:type="dxa" w:w="120"/>
              <w:bottom w:type="dxa" w:w="90"/>
              <w:right w:type="dxa" w:w="120"/>
            </w:tcMar>
            <w:vAlign w:val="center"/>
          </w:tcPr>
          <w:p>
            <w:pPr>
              <w:spacing w:after="20" w:line="240"/>
            </w:pPr>
            <w:r>
              <w:rPr>
                <w:rFonts w:ascii="Poppins" w:cs="Poppins" w:eastAsia="Poppins" w:hAnsi="Poppins"/>
                <w:b/>
                <w:bCs/>
                <w:color w:val="6B7280"/>
                <w:spacing w:val="10"/>
                <w:sz w:val="14"/>
                <w:szCs w:val="14"/>
              </w:rPr>
              <w:t xml:space="preserve">DOCUMENT NO.</w:t>
            </w:r>
          </w:p>
          <w:p>
            <w:pPr>
              <w:spacing w:after="0" w:line="240"/>
            </w:pPr>
            <w:r>
              <w:rPr>
                <w:rFonts w:ascii="Inter" w:cs="Inter" w:eastAsia="Inter" w:hAnsi="Inter"/>
                <w:color w:val="111827"/>
                <w:sz w:val="18"/>
                <w:szCs w:val="18"/>
              </w:rPr>
              <w:t xml:space="preserve">INV-ENMS-C0</w:t>
            </w:r>
          </w:p>
        </w:tc>
        <w:tc>
          <w:tcPr>
            <w:tcW w:type="dxa" w:w="900"/>
            <w:tcMar>
              <w:top w:type="dxa" w:w="90"/>
              <w:left w:type="dxa" w:w="120"/>
              <w:bottom w:type="dxa" w:w="90"/>
              <w:right w:type="dxa" w:w="120"/>
            </w:tcMar>
            <w:vAlign w:val="center"/>
          </w:tcPr>
          <w:p>
            <w:pPr>
              <w:spacing w:after="20" w:line="240"/>
            </w:pPr>
            <w:r>
              <w:rPr>
                <w:rFonts w:ascii="Poppins" w:cs="Poppins" w:eastAsia="Poppins" w:hAnsi="Poppins"/>
                <w:b/>
                <w:bCs/>
                <w:color w:val="6B7280"/>
                <w:spacing w:val="10"/>
                <w:sz w:val="14"/>
                <w:szCs w:val="14"/>
              </w:rPr>
              <w:t xml:space="preserve">REV</w:t>
            </w:r>
          </w:p>
          <w:p>
            <w:pPr>
              <w:spacing w:after="0" w:line="240"/>
            </w:pPr>
            <w:r>
              <w:rPr>
                <w:rFonts w:ascii="Inter" w:cs="Inter" w:eastAsia="Inter" w:hAnsi="Inter"/>
                <w:color w:val="111827"/>
                <w:sz w:val="18"/>
                <w:szCs w:val="18"/>
              </w:rPr>
              <w:t xml:space="preserve">1.0</w:t>
            </w:r>
          </w:p>
        </w:tc>
        <w:tc>
          <w:tcPr>
            <w:tcW w:type="dxa" w:w="1750"/>
            <w:tcMar>
              <w:top w:type="dxa" w:w="90"/>
              <w:left w:type="dxa" w:w="120"/>
              <w:bottom w:type="dxa" w:w="90"/>
              <w:right w:type="dxa" w:w="120"/>
            </w:tcMar>
            <w:vAlign w:val="center"/>
          </w:tcPr>
          <w:p>
            <w:pPr>
              <w:spacing w:after="20" w:line="240"/>
            </w:pPr>
            <w:r>
              <w:rPr>
                <w:rFonts w:ascii="Poppins" w:cs="Poppins" w:eastAsia="Poppins" w:hAnsi="Poppins"/>
                <w:b/>
                <w:bCs/>
                <w:color w:val="6B7280"/>
                <w:spacing w:val="10"/>
                <w:sz w:val="14"/>
                <w:szCs w:val="14"/>
              </w:rPr>
              <w:t xml:space="preserve">ISSUE DATE</w:t>
            </w:r>
          </w:p>
          <w:p>
            <w:pPr>
              <w:spacing w:after="0" w:line="240"/>
            </w:pPr>
            <w:r>
              <w:rPr>
                <w:rFonts w:ascii="Inter" w:cs="Inter" w:eastAsia="Inter" w:hAnsi="Inter"/>
                <w:color w:val="111827"/>
                <w:sz w:val="18"/>
                <w:szCs w:val="18"/>
              </w:rPr>
              <w:t xml:space="preserve">29 July 2026</w:t>
            </w:r>
          </w:p>
        </w:tc>
        <w:tc>
          <w:tcPr>
            <w:tcW w:type="dxa" w:w="2300"/>
            <w:tcMar>
              <w:top w:type="dxa" w:w="90"/>
              <w:left w:type="dxa" w:w="120"/>
              <w:bottom w:type="dxa" w:w="90"/>
              <w:right w:type="dxa" w:w="120"/>
            </w:tcMar>
            <w:vAlign w:val="center"/>
          </w:tcPr>
          <w:p>
            <w:pPr>
              <w:spacing w:after="20" w:line="240"/>
            </w:pPr>
            <w:r>
              <w:rPr>
                <w:rFonts w:ascii="Poppins" w:cs="Poppins" w:eastAsia="Poppins" w:hAnsi="Poppins"/>
                <w:b/>
                <w:bCs/>
                <w:color w:val="6B7280"/>
                <w:spacing w:val="10"/>
                <w:sz w:val="14"/>
                <w:szCs w:val="14"/>
              </w:rPr>
              <w:t xml:space="preserve">PREPARED BY</w:t>
            </w:r>
          </w:p>
          <w:p>
            <w:pPr>
              <w:spacing w:after="0" w:line="240"/>
            </w:pPr>
            <w:r>
              <w:rPr>
                <w:rFonts w:ascii="Inter" w:cs="Inter" w:eastAsia="Inter" w:hAnsi="Inter"/>
                <w:color w:val="111827"/>
                <w:sz w:val="18"/>
                <w:szCs w:val="18"/>
              </w:rPr>
              <w:t xml:space="preserve">Innovast Sdn Bhd</w:t>
            </w:r>
          </w:p>
        </w:tc>
        <w:tc>
          <w:tcPr>
            <w:tcW w:type="dxa" w:w="2696"/>
            <w:tcMar>
              <w:top w:type="dxa" w:w="90"/>
              <w:left w:type="dxa" w:w="120"/>
              <w:bottom w:type="dxa" w:w="90"/>
              <w:right w:type="dxa" w:w="120"/>
            </w:tcMar>
            <w:vAlign w:val="center"/>
          </w:tcPr>
          <w:p>
            <w:pPr>
              <w:spacing w:after="20" w:line="240"/>
            </w:pPr>
            <w:r>
              <w:rPr>
                <w:rFonts w:ascii="Poppins" w:cs="Poppins" w:eastAsia="Poppins" w:hAnsi="Poppins"/>
                <w:b/>
                <w:bCs/>
                <w:color w:val="6B7280"/>
                <w:spacing w:val="10"/>
                <w:sz w:val="14"/>
                <w:szCs w:val="14"/>
              </w:rPr>
              <w:t xml:space="preserve">APPROVED BY</w:t>
            </w:r>
          </w:p>
          <w:p>
            <w:pPr>
              <w:spacing w:after="0" w:line="240"/>
            </w:pPr>
            <w:r>
              <w:rPr>
                <w:rFonts w:ascii="Inter" w:cs="Inter" w:eastAsia="Inter" w:hAnsi="Inter"/>
                <w:color w:val="111827"/>
                <w:sz w:val="18"/>
                <w:szCs w:val="18"/>
              </w:rPr>
              <w:t xml:space="preserve">Anslem Lim, CEO</w:t>
            </w:r>
          </w:p>
        </w:tc>
      </w:tr>
    </w:tbl>
    <w:p>
      <w:pPr>
        <w:spacing w:after="260" w:before="80"/>
        <w:jc w:val="both"/>
      </w:pPr>
      <w:r>
        <w:rPr>
          <w:rFonts w:ascii="Inter" w:cs="Inter" w:eastAsia="Inter" w:hAnsi="Inter"/>
          <w:i/>
          <w:iCs/>
          <w:color w:val="6B7280"/>
          <w:sz w:val="16"/>
          <w:szCs w:val="16"/>
        </w:rPr>
        <w:t xml:space="preserve">Rev 1.0 · issued 29 July 2026 · regulatory sources last verified 18 July 2026.</w:t>
      </w:r>
    </w:p>
    <w:tbl>
      <w:tblPr>
        <w:tblW w:type="dxa" w:w="9746"/>
        <w:tblBorders>
          <w:top w:val="single" w:color="E5E7EB" w:sz="4"/>
          <w:left w:val="single" w:color="F89048" w:sz="24"/>
          <w:bottom w:val="single" w:color="E5E7EB" w:sz="4"/>
          <w:right w:val="single" w:color="E5E7EB" w:sz="4"/>
          <w:insideH w:val="none"/>
          <w:insideV w:val="none"/>
        </w:tblBorders>
      </w:tblPr>
      <w:tblGrid>
        <w:gridCol w:w="9746"/>
      </w:tblGrid>
      <w:tr>
        <w:trPr>
          <w:cantSplit/>
        </w:trPr>
        <w:tc>
          <w:tcPr>
            <w:tcW w:type="dxa" w:w="9746"/>
            <w:shd w:fill="F9FAFB" w:val="clear"/>
            <w:tcMar>
              <w:top w:type="dxa" w:w="140"/>
              <w:left w:type="dxa" w:w="200"/>
              <w:bottom w:type="dxa" w:w="140"/>
              <w:right w:type="dxa" w:w="200"/>
            </w:tcMar>
          </w:tcPr>
          <w:p>
            <w:pPr>
              <w:spacing w:after="0" w:line="260"/>
              <w:jc w:val="both"/>
            </w:pPr>
            <w:r>
              <w:rPr>
                <w:rFonts w:ascii="Inter" w:cs="Inter" w:eastAsia="Inter" w:hAnsi="Inter"/>
                <w:b/>
                <w:bCs/>
                <w:color w:val="111827"/>
                <w:sz w:val="18"/>
                <w:szCs w:val="18"/>
              </w:rPr>
              <w:t xml:space="preserve">DRAFT FOR ADAPTATION</w:t>
            </w:r>
            <w:r>
              <w:rPr>
                <w:rFonts w:ascii="Inter" w:cs="Inter" w:eastAsia="Inter" w:hAnsi="Inter"/>
                <w:color w:val="4B5563"/>
                <w:sz w:val="18"/>
                <w:szCs w:val="18"/>
              </w:rPr>
              <w:t xml:space="preserve"> — this template is not regulatory advice. Prepared with reference to GP/ST/No.46/2024 (Guidelines on Energy Management System), the Energy Efficiency and Conservation Act 2024 [Act 861] and the Energy Efficiency and Conservation Regulations 2024 [P.U.(A) 466/2024]; sources last verified 18 July 2026. Adapt every field to your organisation before use. Only Suruhanjaya Tenaga can determine compliance with the Act.</w:t>
            </w:r>
          </w:p>
        </w:tc>
      </w:tr>
    </w:tbl>
    <w:p>
      <w:r>
        <w:br w:type="page"/>
      </w:r>
    </w:p>
    <w:p>
      <w:pPr>
        <w:keepNext/>
        <w:keepLines/>
        <w:pBdr>
          <w:bottom w:val="single" w:color="38B0F8" w:sz="12" w:space="4"/>
        </w:pBdr>
        <w:tabs>
          <w:tab w:val="left" w:pos="460"/>
        </w:tabs>
        <w:spacing w:after="180" w:before="320"/>
        <w:ind w:left="460" w:hanging="460"/>
      </w:pPr>
      <w:r>
        <w:rPr>
          <w:rFonts w:ascii="Poppins" w:cs="Poppins" w:eastAsia="Poppins" w:hAnsi="Poppins"/>
          <w:b/>
          <w:bCs/>
          <w:color w:val="38B0F8"/>
          <w:sz w:val="30"/>
          <w:szCs w:val="30"/>
        </w:rPr>
        <w:t xml:space="preserve">1</w:t>
      </w:r>
      <w:r>
        <w:rPr>
          <w:rFonts w:ascii="Poppins" w:cs="Poppins" w:eastAsia="Poppins" w:hAnsi="Poppins"/>
          <w:sz w:val="30"/>
          <w:szCs w:val="30"/>
        </w:rPr>
        <w:tab/>
      </w:r>
      <w:r>
        <w:rPr>
          <w:rFonts w:ascii="Poppins" w:cs="Poppins" w:eastAsia="Poppins" w:hAnsi="Poppins"/>
          <w:b/>
          <w:bCs/>
          <w:color w:val="111827"/>
          <w:sz w:val="30"/>
          <w:szCs w:val="30"/>
        </w:rPr>
        <w:t xml:space="preserve">Who this pack is for</w:t>
      </w:r>
    </w:p>
    <w:p>
      <w:pPr>
        <w:spacing w:after="140" w:line="300"/>
        <w:jc w:val="both"/>
      </w:pPr>
      <w:r>
        <w:rPr>
          <w:rFonts w:ascii="Inter" w:cs="Inter" w:eastAsia="Inter" w:hAnsi="Inter"/>
          <w:color w:val="1F2937"/>
          <w:sz w:val="20"/>
          <w:szCs w:val="20"/>
        </w:rPr>
        <w:t xml:space="preserve">This pack is for organisations that have received — or expect to receive — Suruhanjaya Tenaga’s written notice under section 3(3) of Act 861 designating them an energy consumer to whom the Act applies. The trigger is energy consumption of </w:t>
      </w:r>
      <w:r>
        <w:rPr>
          <w:rFonts w:ascii="Inter" w:cs="Inter" w:eastAsia="Inter" w:hAnsi="Inter"/>
          <w:b/>
          <w:bCs/>
          <w:color w:val="1F2937"/>
          <w:sz w:val="20"/>
          <w:szCs w:val="20"/>
        </w:rPr>
        <w:t xml:space="preserve">21,600 GJ or more over any twelve consecutive months</w:t>
      </w:r>
      <w:r>
        <w:rPr>
          <w:rFonts w:ascii="Inter" w:cs="Inter" w:eastAsia="Inter" w:hAnsi="Inter"/>
          <w:color w:val="1F2937"/>
          <w:sz w:val="20"/>
          <w:szCs w:val="20"/>
        </w:rPr>
        <w:t xml:space="preserve"> (regulation 3, Energy Efficiency and Conservation Regulations 2024 [P.U.(A) 466/2024]). Once designated, the organisation must — among other duties — develop and implement an energy management system (EnMS) in accordance with the Commission’s guidelines (s.6, Act 861).</w:t>
      </w:r>
    </w:p>
    <w:p>
      <w:pPr>
        <w:spacing w:after="140" w:line="300"/>
        <w:jc w:val="both"/>
      </w:pPr>
      <w:r>
        <w:rPr>
          <w:rFonts w:ascii="Inter" w:cs="Inter" w:eastAsia="Inter" w:hAnsi="Inter"/>
          <w:color w:val="1F2937"/>
          <w:sz w:val="20"/>
          <w:szCs w:val="20"/>
        </w:rPr>
        <w:t xml:space="preserve">Not sure whether the threshold applies to you? Run the free self-assessment at </w:t>
      </w:r>
      <w:r>
        <w:rPr>
          <w:rFonts w:ascii="Inter" w:cs="Inter" w:eastAsia="Inter" w:hAnsi="Inter"/>
          <w:b/>
          <w:bCs/>
          <w:color w:val="1273AD"/>
          <w:sz w:val="20"/>
          <w:szCs w:val="20"/>
        </w:rPr>
        <w:t xml:space="preserve">eeca2024.my</w:t>
      </w:r>
      <w:r>
        <w:rPr>
          <w:rFonts w:ascii="Inter" w:cs="Inter" w:eastAsia="Inter" w:hAnsi="Inter"/>
          <w:color w:val="1F2937"/>
          <w:sz w:val="20"/>
          <w:szCs w:val="20"/>
        </w:rPr>
        <w:t xml:space="preserve"> before working through this pack.</w:t>
      </w:r>
    </w:p>
    <w:p>
      <w:pPr>
        <w:keepNext/>
        <w:keepLines/>
        <w:pBdr>
          <w:bottom w:val="single" w:color="38B0F8" w:sz="12" w:space="4"/>
        </w:pBdr>
        <w:tabs>
          <w:tab w:val="left" w:pos="460"/>
        </w:tabs>
        <w:spacing w:after="180" w:before="320"/>
        <w:ind w:left="460" w:hanging="460"/>
      </w:pPr>
      <w:r>
        <w:rPr>
          <w:rFonts w:ascii="Poppins" w:cs="Poppins" w:eastAsia="Poppins" w:hAnsi="Poppins"/>
          <w:b/>
          <w:bCs/>
          <w:color w:val="38B0F8"/>
          <w:sz w:val="30"/>
          <w:szCs w:val="30"/>
        </w:rPr>
        <w:t xml:space="preserve">2</w:t>
      </w:r>
      <w:r>
        <w:rPr>
          <w:rFonts w:ascii="Poppins" w:cs="Poppins" w:eastAsia="Poppins" w:hAnsi="Poppins"/>
          <w:sz w:val="30"/>
          <w:szCs w:val="30"/>
        </w:rPr>
        <w:tab/>
      </w:r>
      <w:r>
        <w:rPr>
          <w:rFonts w:ascii="Poppins" w:cs="Poppins" w:eastAsia="Poppins" w:hAnsi="Poppins"/>
          <w:b/>
          <w:bCs/>
          <w:color w:val="111827"/>
          <w:sz w:val="30"/>
          <w:szCs w:val="30"/>
        </w:rPr>
        <w:t xml:space="preserve">What the law actually requires</w:t>
      </w:r>
    </w:p>
    <w:p>
      <w:pPr>
        <w:spacing w:after="140" w:line="300"/>
        <w:jc w:val="both"/>
      </w:pPr>
      <w:r>
        <w:rPr>
          <w:rFonts w:ascii="Inter" w:cs="Inter" w:eastAsia="Inter" w:hAnsi="Inter"/>
          <w:color w:val="1F2937"/>
          <w:sz w:val="20"/>
          <w:szCs w:val="20"/>
        </w:rPr>
        <w:t xml:space="preserve">Section 6(1) of Act 861 requires a designated energy consumer to develop an EnMS </w:t>
      </w:r>
      <w:r>
        <w:rPr>
          <w:rFonts w:ascii="Inter" w:cs="Inter" w:eastAsia="Inter" w:hAnsi="Inter"/>
          <w:b/>
          <w:bCs/>
          <w:color w:val="1F2937"/>
          <w:sz w:val="20"/>
          <w:szCs w:val="20"/>
        </w:rPr>
        <w:t xml:space="preserve">within the period prescribed</w:t>
      </w:r>
      <w:r>
        <w:rPr>
          <w:rFonts w:ascii="Inter" w:cs="Inter" w:eastAsia="Inter" w:hAnsi="Inter"/>
          <w:color w:val="1F2937"/>
          <w:sz w:val="20"/>
          <w:szCs w:val="20"/>
        </w:rPr>
        <w:t xml:space="preserve"> and to implement it. Two points matter more than any other:</w:t>
      </w:r>
    </w:p>
    <w:p>
      <w:pPr>
        <w:pStyle w:val="ListParagraph"/>
        <w:numPr>
          <w:ilvl w:val="0"/>
          <w:numId w:val="2"/>
        </w:numPr>
        <w:spacing w:after="90" w:line="290"/>
        <w:jc w:val="both"/>
      </w:pPr>
      <w:r>
        <w:rPr>
          <w:rFonts w:ascii="Inter" w:cs="Inter" w:eastAsia="Inter" w:hAnsi="Inter"/>
          <w:b/>
          <w:bCs/>
          <w:color w:val="1F2937"/>
          <w:sz w:val="20"/>
          <w:szCs w:val="20"/>
        </w:rPr>
        <w:t xml:space="preserve">The EnMS clock runs from the REM appointment, not from the notice. </w:t>
      </w:r>
      <w:r>
        <w:rPr>
          <w:rFonts w:ascii="Inter" w:cs="Inter" w:eastAsia="Inter" w:hAnsi="Inter"/>
          <w:color w:val="1F2937"/>
          <w:sz w:val="20"/>
          <w:szCs w:val="20"/>
        </w:rPr>
        <w:t xml:space="preserve">Regulation 8 prescribes one year from the date of the appointment of the registered energy manager under regulation 4(1) or 6(1). With the REM due within three months of the notice (reg 4(2)), the practical worst case is roughly fifteen months from notice to a required, working EnMS.</w:t>
      </w:r>
    </w:p>
    <w:p>
      <w:pPr>
        <w:pStyle w:val="ListParagraph"/>
        <w:numPr>
          <w:ilvl w:val="0"/>
          <w:numId w:val="2"/>
        </w:numPr>
        <w:spacing w:after="90" w:line="290"/>
        <w:jc w:val="both"/>
      </w:pPr>
      <w:r>
        <w:rPr>
          <w:rFonts w:ascii="Inter" w:cs="Inter" w:eastAsia="Inter" w:hAnsi="Inter"/>
          <w:b/>
          <w:bCs/>
          <w:color w:val="1F2937"/>
          <w:sz w:val="20"/>
          <w:szCs w:val="20"/>
        </w:rPr>
        <w:t xml:space="preserve">The EnMS must follow GP/ST/No.46/2024. </w:t>
      </w:r>
      <w:r>
        <w:rPr>
          <w:rFonts w:ascii="Inter" w:cs="Inter" w:eastAsia="Inter" w:hAnsi="Inter"/>
          <w:color w:val="1F2937"/>
          <w:sz w:val="20"/>
          <w:szCs w:val="20"/>
        </w:rPr>
        <w:t xml:space="preserve">Section 6(2) requires development and implementation "in accordance with the guidelines". Developing an EnMS late attracts a fine of up to RM50,000 (s.6(3)); developing one that does not follow the guidelines attracts a fine of up to RM20,000 (s.6(4)).</w:t>
      </w:r>
    </w:p>
    <w:p>
      <w:pPr>
        <w:spacing w:after="140" w:line="300"/>
        <w:jc w:val="both"/>
      </w:pPr>
      <w:r>
        <w:rPr>
          <w:rFonts w:ascii="Inter" w:cs="Inter" w:eastAsia="Inter" w:hAnsi="Inter"/>
          <w:color w:val="1F2937"/>
          <w:sz w:val="20"/>
          <w:szCs w:val="20"/>
        </w:rPr>
        <w:t xml:space="preserve">GP46 structures the EnMS as five components in a continual cycle, with reporting and documentation running throughout (GP46 para. 3.3–3.4):</w:t>
      </w:r>
    </w:p>
    <w:tbl>
      <w:tblPr>
        <w:tblW w:type="dxa" w:w="9746"/>
        <w:tblBorders>
          <w:top w:val="single" w:color="E5E7EB" w:sz="4"/>
          <w:left w:val="single" w:color="E5E7EB" w:sz="4"/>
          <w:bottom w:val="single" w:color="E5E7EB" w:sz="4"/>
          <w:right w:val="single" w:color="E5E7EB" w:sz="4"/>
          <w:insideH w:val="single" w:color="E5E7EB" w:sz="4"/>
          <w:insideV w:val="single" w:color="E5E7EB" w:sz="4"/>
        </w:tblBorders>
      </w:tblPr>
      <w:tblGrid>
        <w:gridCol w:w="2688"/>
        <w:gridCol w:w="5133"/>
        <w:gridCol w:w="1925"/>
      </w:tblGrid>
      <w:tr>
        <w:trPr>
          <w:cantSplit/>
          <w:tblHeader/>
        </w:trPr>
        <w:tc>
          <w:tcPr>
            <w:tcW w:type="dxa" w:w="2688"/>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GP46 component</w:t>
            </w:r>
          </w:p>
        </w:tc>
        <w:tc>
          <w:tcPr>
            <w:tcW w:type="dxa" w:w="5133"/>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In practice</w:t>
            </w:r>
          </w:p>
        </w:tc>
        <w:tc>
          <w:tcPr>
            <w:tcW w:type="dxa" w:w="1925"/>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Pack documents</w:t>
            </w:r>
          </w:p>
        </w:tc>
      </w:tr>
      <w:tr>
        <w:trPr>
          <w:cantSplit/>
        </w:trPr>
        <w:tc>
          <w:tcPr>
            <w:tcW w:type="dxa" w:w="2688"/>
            <w:tcMar>
              <w:top w:type="dxa" w:w="70"/>
              <w:left w:type="dxa" w:w="100"/>
              <w:bottom w:type="dxa" w:w="70"/>
              <w:right w:type="dxa" w:w="100"/>
            </w:tcMar>
            <w:vAlign w:val="top"/>
          </w:tcPr>
          <w:p>
            <w:pPr>
              <w:spacing w:after="0" w:line="260"/>
            </w:pPr>
            <w:r>
              <w:rPr>
                <w:rFonts w:ascii="Inter" w:cs="Inter" w:eastAsia="Inter" w:hAnsi="Inter"/>
                <w:color w:val="1F2937"/>
                <w:sz w:val="19"/>
                <w:szCs w:val="19"/>
              </w:rPr>
              <w:t xml:space="preserve">Establish Commitment (para. 4)</w:t>
            </w:r>
          </w:p>
        </w:tc>
        <w:tc>
          <w:tcPr>
            <w:tcW w:type="dxa" w:w="5133"/>
            <w:tcMar>
              <w:top w:type="dxa" w:w="70"/>
              <w:left w:type="dxa" w:w="100"/>
              <w:bottom w:type="dxa" w:w="70"/>
              <w:right w:type="dxa" w:w="100"/>
            </w:tcMar>
            <w:vAlign w:val="top"/>
          </w:tcPr>
          <w:p>
            <w:pPr>
              <w:spacing w:after="0" w:line="260"/>
            </w:pPr>
            <w:r>
              <w:rPr>
                <w:rFonts w:ascii="Inter" w:cs="Inter" w:eastAsia="Inter" w:hAnsi="Inter"/>
                <w:color w:val="1F2937"/>
                <w:sz w:val="19"/>
                <w:szCs w:val="19"/>
              </w:rPr>
              <w:t xml:space="preserve">Top management commitment, management representative, Energy Management Committee, energy management policy</w:t>
            </w:r>
          </w:p>
        </w:tc>
        <w:tc>
          <w:tcPr>
            <w:tcW w:type="dxa" w:w="1925"/>
            <w:tcMar>
              <w:top w:type="dxa" w:w="70"/>
              <w:left w:type="dxa" w:w="100"/>
              <w:bottom w:type="dxa" w:w="70"/>
              <w:right w:type="dxa" w:w="100"/>
            </w:tcMar>
            <w:vAlign w:val="top"/>
          </w:tcPr>
          <w:p>
            <w:pPr>
              <w:spacing w:after="0" w:line="260"/>
            </w:pPr>
            <w:r>
              <w:rPr>
                <w:rFonts w:ascii="Inter" w:cs="Inter" w:eastAsia="Inter" w:hAnsi="Inter"/>
                <w:color w:val="1F2937"/>
                <w:sz w:val="19"/>
                <w:szCs w:val="19"/>
              </w:rPr>
              <w:t xml:space="preserve">C2 · C3</w:t>
            </w:r>
          </w:p>
        </w:tc>
      </w:tr>
      <w:tr>
        <w:trPr>
          <w:cantSplit/>
        </w:trPr>
        <w:tc>
          <w:tcPr>
            <w:tcW w:type="dxa" w:w="2688"/>
            <w:tcMar>
              <w:top w:type="dxa" w:w="70"/>
              <w:left w:type="dxa" w:w="100"/>
              <w:bottom w:type="dxa" w:w="70"/>
              <w:right w:type="dxa" w:w="100"/>
            </w:tcMar>
            <w:vAlign w:val="top"/>
          </w:tcPr>
          <w:p>
            <w:pPr>
              <w:spacing w:after="0" w:line="260"/>
            </w:pPr>
            <w:r>
              <w:rPr>
                <w:rFonts w:ascii="Inter" w:cs="Inter" w:eastAsia="Inter" w:hAnsi="Inter"/>
                <w:color w:val="1F2937"/>
                <w:sz w:val="19"/>
                <w:szCs w:val="19"/>
              </w:rPr>
              <w:t xml:space="preserve">Assess Performance &amp; Develop Targets (para. 5)</w:t>
            </w:r>
          </w:p>
        </w:tc>
        <w:tc>
          <w:tcPr>
            <w:tcW w:type="dxa" w:w="5133"/>
            <w:tcMar>
              <w:top w:type="dxa" w:w="70"/>
              <w:left w:type="dxa" w:w="100"/>
              <w:bottom w:type="dxa" w:w="70"/>
              <w:right w:type="dxa" w:w="100"/>
            </w:tcMar>
            <w:vAlign w:val="top"/>
          </w:tcPr>
          <w:p>
            <w:pPr>
              <w:spacing w:after="0" w:line="260"/>
            </w:pPr>
            <w:r>
              <w:rPr>
                <w:rFonts w:ascii="Inter" w:cs="Inter" w:eastAsia="Inter" w:hAnsi="Inter"/>
                <w:color w:val="1F2937"/>
                <w:sz w:val="19"/>
                <w:szCs w:val="19"/>
              </w:rPr>
              <w:t xml:space="preserve">EnMS self-evaluation matrix, internal performance review, boundary and SEUs, 12-month data, baseline and EEI, benchmarking, targets</w:t>
            </w:r>
          </w:p>
        </w:tc>
        <w:tc>
          <w:tcPr>
            <w:tcW w:type="dxa" w:w="1925"/>
            <w:tcMar>
              <w:top w:type="dxa" w:w="70"/>
              <w:left w:type="dxa" w:w="100"/>
              <w:bottom w:type="dxa" w:w="70"/>
              <w:right w:type="dxa" w:w="100"/>
            </w:tcMar>
            <w:vAlign w:val="top"/>
          </w:tcPr>
          <w:p>
            <w:pPr>
              <w:spacing w:after="0" w:line="260"/>
            </w:pPr>
            <w:r>
              <w:rPr>
                <w:rFonts w:ascii="Inter" w:cs="Inter" w:eastAsia="Inter" w:hAnsi="Inter"/>
                <w:color w:val="1F2937"/>
                <w:sz w:val="19"/>
                <w:szCs w:val="19"/>
              </w:rPr>
              <w:t xml:space="preserve">C1 · C6 · C7 · C10</w:t>
            </w:r>
          </w:p>
        </w:tc>
      </w:tr>
      <w:tr>
        <w:trPr>
          <w:cantSplit/>
        </w:trPr>
        <w:tc>
          <w:tcPr>
            <w:tcW w:type="dxa" w:w="2688"/>
            <w:tcMar>
              <w:top w:type="dxa" w:w="70"/>
              <w:left w:type="dxa" w:w="100"/>
              <w:bottom w:type="dxa" w:w="70"/>
              <w:right w:type="dxa" w:w="100"/>
            </w:tcMar>
            <w:vAlign w:val="top"/>
          </w:tcPr>
          <w:p>
            <w:pPr>
              <w:spacing w:after="0" w:line="260"/>
            </w:pPr>
            <w:r>
              <w:rPr>
                <w:rFonts w:ascii="Inter" w:cs="Inter" w:eastAsia="Inter" w:hAnsi="Inter"/>
                <w:color w:val="1F2937"/>
                <w:sz w:val="19"/>
                <w:szCs w:val="19"/>
              </w:rPr>
              <w:t xml:space="preserve">Develop Action Plan (para. 6)</w:t>
            </w:r>
          </w:p>
        </w:tc>
        <w:tc>
          <w:tcPr>
            <w:tcW w:type="dxa" w:w="5133"/>
            <w:tcMar>
              <w:top w:type="dxa" w:w="70"/>
              <w:left w:type="dxa" w:w="100"/>
              <w:bottom w:type="dxa" w:w="70"/>
              <w:right w:type="dxa" w:w="100"/>
            </w:tcMar>
            <w:vAlign w:val="top"/>
          </w:tcPr>
          <w:p>
            <w:pPr>
              <w:spacing w:after="0" w:line="260"/>
            </w:pPr>
            <w:r>
              <w:rPr>
                <w:rFonts w:ascii="Inter" w:cs="Inter" w:eastAsia="Inter" w:hAnsi="Inter"/>
                <w:color w:val="1F2937"/>
                <w:sz w:val="19"/>
                <w:szCs w:val="19"/>
              </w:rPr>
              <w:t xml:space="preserve">Strategies from the gap review, ESMs with timelines and estimated savings, financial prioritisation, roles and resources</w:t>
            </w:r>
          </w:p>
        </w:tc>
        <w:tc>
          <w:tcPr>
            <w:tcW w:type="dxa" w:w="1925"/>
            <w:tcMar>
              <w:top w:type="dxa" w:w="70"/>
              <w:left w:type="dxa" w:w="100"/>
              <w:bottom w:type="dxa" w:w="70"/>
              <w:right w:type="dxa" w:w="100"/>
            </w:tcMar>
            <w:vAlign w:val="top"/>
          </w:tcPr>
          <w:p>
            <w:pPr>
              <w:spacing w:after="0" w:line="260"/>
            </w:pPr>
            <w:r>
              <w:rPr>
                <w:rFonts w:ascii="Inter" w:cs="Inter" w:eastAsia="Inter" w:hAnsi="Inter"/>
                <w:color w:val="1F2937"/>
                <w:sz w:val="19"/>
                <w:szCs w:val="19"/>
              </w:rPr>
              <w:t xml:space="preserve">C8</w:t>
            </w:r>
          </w:p>
        </w:tc>
      </w:tr>
      <w:tr>
        <w:trPr>
          <w:cantSplit/>
        </w:trPr>
        <w:tc>
          <w:tcPr>
            <w:tcW w:type="dxa" w:w="2688"/>
            <w:tcMar>
              <w:top w:type="dxa" w:w="70"/>
              <w:left w:type="dxa" w:w="100"/>
              <w:bottom w:type="dxa" w:w="70"/>
              <w:right w:type="dxa" w:w="100"/>
            </w:tcMar>
            <w:vAlign w:val="top"/>
          </w:tcPr>
          <w:p>
            <w:pPr>
              <w:spacing w:after="0" w:line="260"/>
            </w:pPr>
            <w:r>
              <w:rPr>
                <w:rFonts w:ascii="Inter" w:cs="Inter" w:eastAsia="Inter" w:hAnsi="Inter"/>
                <w:color w:val="1F2937"/>
                <w:sz w:val="19"/>
                <w:szCs w:val="19"/>
              </w:rPr>
              <w:t xml:space="preserve">Implement Action Plan (para. 7)</w:t>
            </w:r>
          </w:p>
        </w:tc>
        <w:tc>
          <w:tcPr>
            <w:tcW w:type="dxa" w:w="5133"/>
            <w:tcMar>
              <w:top w:type="dxa" w:w="70"/>
              <w:left w:type="dxa" w:w="100"/>
              <w:bottom w:type="dxa" w:w="70"/>
              <w:right w:type="dxa" w:w="100"/>
            </w:tcMar>
            <w:vAlign w:val="top"/>
          </w:tcPr>
          <w:p>
            <w:pPr>
              <w:spacing w:after="0" w:line="260"/>
            </w:pPr>
            <w:r>
              <w:rPr>
                <w:rFonts w:ascii="Inter" w:cs="Inter" w:eastAsia="Inter" w:hAnsi="Inter"/>
                <w:color w:val="1F2937"/>
                <w:sz w:val="19"/>
                <w:szCs w:val="19"/>
              </w:rPr>
              <w:t xml:space="preserve">ESM implementation, operational controls, maintenance and calibration, M&amp;V, motivation, communication, awareness and training</w:t>
            </w:r>
          </w:p>
        </w:tc>
        <w:tc>
          <w:tcPr>
            <w:tcW w:type="dxa" w:w="1925"/>
            <w:tcMar>
              <w:top w:type="dxa" w:w="70"/>
              <w:left w:type="dxa" w:w="100"/>
              <w:bottom w:type="dxa" w:w="70"/>
              <w:right w:type="dxa" w:w="100"/>
            </w:tcMar>
            <w:vAlign w:val="top"/>
          </w:tcPr>
          <w:p>
            <w:pPr>
              <w:spacing w:after="0" w:line="260"/>
            </w:pPr>
            <w:r>
              <w:rPr>
                <w:rFonts w:ascii="Inter" w:cs="Inter" w:eastAsia="Inter" w:hAnsi="Inter"/>
                <w:color w:val="1F2937"/>
                <w:sz w:val="19"/>
                <w:szCs w:val="19"/>
              </w:rPr>
              <w:t xml:space="preserve">C8 · C9 · C11</w:t>
            </w:r>
          </w:p>
        </w:tc>
      </w:tr>
      <w:tr>
        <w:trPr>
          <w:cantSplit/>
        </w:trPr>
        <w:tc>
          <w:tcPr>
            <w:tcW w:type="dxa" w:w="2688"/>
            <w:tcMar>
              <w:top w:type="dxa" w:w="70"/>
              <w:left w:type="dxa" w:w="100"/>
              <w:bottom w:type="dxa" w:w="70"/>
              <w:right w:type="dxa" w:w="100"/>
            </w:tcMar>
            <w:vAlign w:val="top"/>
          </w:tcPr>
          <w:p>
            <w:pPr>
              <w:spacing w:after="0" w:line="260"/>
            </w:pPr>
            <w:r>
              <w:rPr>
                <w:rFonts w:ascii="Inter" w:cs="Inter" w:eastAsia="Inter" w:hAnsi="Inter"/>
                <w:color w:val="1F2937"/>
                <w:sz w:val="19"/>
                <w:szCs w:val="19"/>
              </w:rPr>
              <w:t xml:space="preserve">Measure Progress &amp; Management Review (para. 8)</w:t>
            </w:r>
          </w:p>
        </w:tc>
        <w:tc>
          <w:tcPr>
            <w:tcW w:type="dxa" w:w="5133"/>
            <w:tcMar>
              <w:top w:type="dxa" w:w="70"/>
              <w:left w:type="dxa" w:w="100"/>
              <w:bottom w:type="dxa" w:w="70"/>
              <w:right w:type="dxa" w:w="100"/>
            </w:tcMar>
            <w:vAlign w:val="top"/>
          </w:tcPr>
          <w:p>
            <w:pPr>
              <w:spacing w:after="0" w:line="260"/>
            </w:pPr>
            <w:r>
              <w:rPr>
                <w:rFonts w:ascii="Inter" w:cs="Inter" w:eastAsia="Inter" w:hAnsi="Inter"/>
                <w:color w:val="1F2937"/>
                <w:sz w:val="19"/>
                <w:szCs w:val="19"/>
              </w:rPr>
              <w:t xml:space="preserve">Annual internal review, results evaluation, legal-compliance evaluation, management review with endorsed minutes</w:t>
            </w:r>
          </w:p>
        </w:tc>
        <w:tc>
          <w:tcPr>
            <w:tcW w:type="dxa" w:w="1925"/>
            <w:tcMar>
              <w:top w:type="dxa" w:w="70"/>
              <w:left w:type="dxa" w:w="100"/>
              <w:bottom w:type="dxa" w:w="70"/>
              <w:right w:type="dxa" w:w="100"/>
            </w:tcMar>
            <w:vAlign w:val="top"/>
          </w:tcPr>
          <w:p>
            <w:pPr>
              <w:spacing w:after="0" w:line="260"/>
            </w:pPr>
            <w:r>
              <w:rPr>
                <w:rFonts w:ascii="Inter" w:cs="Inter" w:eastAsia="Inter" w:hAnsi="Inter"/>
                <w:color w:val="1F2937"/>
                <w:sz w:val="19"/>
                <w:szCs w:val="19"/>
              </w:rPr>
              <w:t xml:space="preserve">C3 · C10</w:t>
            </w:r>
          </w:p>
        </w:tc>
      </w:tr>
      <w:tr>
        <w:trPr>
          <w:cantSplit/>
        </w:trPr>
        <w:tc>
          <w:tcPr>
            <w:tcW w:type="dxa" w:w="2688"/>
            <w:tcMar>
              <w:top w:type="dxa" w:w="70"/>
              <w:left w:type="dxa" w:w="100"/>
              <w:bottom w:type="dxa" w:w="70"/>
              <w:right w:type="dxa" w:w="100"/>
            </w:tcMar>
            <w:vAlign w:val="top"/>
          </w:tcPr>
          <w:p>
            <w:pPr>
              <w:spacing w:after="0" w:line="260"/>
            </w:pPr>
            <w:r>
              <w:rPr>
                <w:rFonts w:ascii="Inter" w:cs="Inter" w:eastAsia="Inter" w:hAnsi="Inter"/>
                <w:color w:val="1F2937"/>
                <w:sz w:val="19"/>
                <w:szCs w:val="19"/>
              </w:rPr>
              <w:t xml:space="preserve">Reporting &amp; documentation (ongoing, para. 3.4)</w:t>
            </w:r>
          </w:p>
        </w:tc>
        <w:tc>
          <w:tcPr>
            <w:tcW w:type="dxa" w:w="5133"/>
            <w:tcMar>
              <w:top w:type="dxa" w:w="70"/>
              <w:left w:type="dxa" w:w="100"/>
              <w:bottom w:type="dxa" w:w="70"/>
              <w:right w:type="dxa" w:w="100"/>
            </w:tcMar>
            <w:vAlign w:val="top"/>
          </w:tcPr>
          <w:p>
            <w:pPr>
              <w:spacing w:after="0" w:line="260"/>
            </w:pPr>
            <w:r>
              <w:rPr>
                <w:rFonts w:ascii="Inter" w:cs="Inter" w:eastAsia="Inter" w:hAnsi="Inter"/>
                <w:color w:val="1F2937"/>
                <w:sz w:val="19"/>
                <w:szCs w:val="19"/>
              </w:rPr>
              <w:t xml:space="preserve">The evidence trail — and the annual EE&amp;C report to the Commission</w:t>
            </w:r>
          </w:p>
        </w:tc>
        <w:tc>
          <w:tcPr>
            <w:tcW w:type="dxa" w:w="1925"/>
            <w:tcMar>
              <w:top w:type="dxa" w:w="70"/>
              <w:left w:type="dxa" w:w="100"/>
              <w:bottom w:type="dxa" w:w="70"/>
              <w:right w:type="dxa" w:w="100"/>
            </w:tcMar>
            <w:vAlign w:val="top"/>
          </w:tcPr>
          <w:p>
            <w:pPr>
              <w:spacing w:after="0" w:line="260"/>
            </w:pPr>
            <w:r>
              <w:rPr>
                <w:rFonts w:ascii="Inter" w:cs="Inter" w:eastAsia="Inter" w:hAnsi="Inter"/>
                <w:color w:val="1F2937"/>
                <w:sz w:val="19"/>
                <w:szCs w:val="19"/>
              </w:rPr>
              <w:t xml:space="preserve">C4 · C12</w:t>
            </w:r>
          </w:p>
        </w:tc>
      </w:tr>
    </w:tbl>
    <w:p>
      <w:pPr>
        <w:keepNext/>
        <w:keepLines/>
        <w:pBdr>
          <w:bottom w:val="single" w:color="38B0F8" w:sz="12" w:space="4"/>
        </w:pBdr>
        <w:tabs>
          <w:tab w:val="left" w:pos="460"/>
        </w:tabs>
        <w:spacing w:after="180" w:before="320"/>
        <w:ind w:left="460" w:hanging="460"/>
      </w:pPr>
      <w:r>
        <w:rPr>
          <w:rFonts w:ascii="Poppins" w:cs="Poppins" w:eastAsia="Poppins" w:hAnsi="Poppins"/>
          <w:b/>
          <w:bCs/>
          <w:color w:val="38B0F8"/>
          <w:sz w:val="30"/>
          <w:szCs w:val="30"/>
        </w:rPr>
        <w:t xml:space="preserve">3</w:t>
      </w:r>
      <w:r>
        <w:rPr>
          <w:rFonts w:ascii="Poppins" w:cs="Poppins" w:eastAsia="Poppins" w:hAnsi="Poppins"/>
          <w:sz w:val="30"/>
          <w:szCs w:val="30"/>
        </w:rPr>
        <w:tab/>
      </w:r>
      <w:r>
        <w:rPr>
          <w:rFonts w:ascii="Poppins" w:cs="Poppins" w:eastAsia="Poppins" w:hAnsi="Poppins"/>
          <w:b/>
          <w:bCs/>
          <w:color w:val="111827"/>
          <w:sz w:val="30"/>
          <w:szCs w:val="30"/>
        </w:rPr>
        <w:t xml:space="preserve">The compliance clock</w:t>
      </w:r>
    </w:p>
    <w:p>
      <w:pPr>
        <w:spacing w:after="140" w:line="300"/>
        <w:jc w:val="both"/>
      </w:pPr>
      <w:r>
        <w:rPr>
          <w:rFonts w:ascii="Inter" w:cs="Inter" w:eastAsia="Inter" w:hAnsi="Inter"/>
          <w:color w:val="1F2937"/>
          <w:sz w:val="20"/>
          <w:szCs w:val="20"/>
        </w:rPr>
        <w:t xml:space="preserve">Every deadline below is anchored to one of two dates: the date of the Commission’s </w:t>
      </w:r>
      <w:r>
        <w:rPr>
          <w:rFonts w:ascii="Inter" w:cs="Inter" w:eastAsia="Inter" w:hAnsi="Inter"/>
          <w:b/>
          <w:bCs/>
          <w:color w:val="1F2937"/>
          <w:sz w:val="20"/>
          <w:szCs w:val="20"/>
        </w:rPr>
        <w:t xml:space="preserve">written notice</w:t>
      </w:r>
      <w:r>
        <w:rPr>
          <w:rFonts w:ascii="Inter" w:cs="Inter" w:eastAsia="Inter" w:hAnsi="Inter"/>
          <w:color w:val="1F2937"/>
          <w:sz w:val="20"/>
          <w:szCs w:val="20"/>
        </w:rPr>
        <w:t xml:space="preserve"> under s.3(3) ("Notice"), or the date of the </w:t>
      </w:r>
      <w:r>
        <w:rPr>
          <w:rFonts w:ascii="Inter" w:cs="Inter" w:eastAsia="Inter" w:hAnsi="Inter"/>
          <w:b/>
          <w:bCs/>
          <w:color w:val="1F2937"/>
          <w:sz w:val="20"/>
          <w:szCs w:val="20"/>
        </w:rPr>
        <w:t xml:space="preserve">REM appointment</w:t>
      </w:r>
      <w:r>
        <w:rPr>
          <w:rFonts w:ascii="Inter" w:cs="Inter" w:eastAsia="Inter" w:hAnsi="Inter"/>
          <w:color w:val="1F2937"/>
          <w:sz w:val="20"/>
          <w:szCs w:val="20"/>
        </w:rPr>
        <w:t xml:space="preserve"> under reg 4(1) or 6(1) ("Appointment"). Enter your own dates in the right-hand column and diarise the results.</w:t>
      </w:r>
    </w:p>
    <w:tbl>
      <w:tblPr>
        <w:tblW w:type="dxa" w:w="9746"/>
        <w:tblBorders>
          <w:top w:val="single" w:color="E5E7EB" w:sz="4"/>
          <w:left w:val="single" w:color="E5E7EB" w:sz="4"/>
          <w:bottom w:val="single" w:color="E5E7EB" w:sz="4"/>
          <w:right w:val="single" w:color="E5E7EB" w:sz="4"/>
          <w:insideH w:val="single" w:color="E5E7EB" w:sz="4"/>
          <w:insideV w:val="single" w:color="E5E7EB" w:sz="4"/>
        </w:tblBorders>
      </w:tblPr>
      <w:tblGrid>
        <w:gridCol w:w="640"/>
        <w:gridCol w:w="2450"/>
        <w:gridCol w:w="2996"/>
        <w:gridCol w:w="2610"/>
        <w:gridCol w:w="1050"/>
      </w:tblGrid>
      <w:tr>
        <w:trPr>
          <w:cantSplit/>
          <w:tblHeader/>
        </w:trPr>
        <w:tc>
          <w:tcPr>
            <w:tcW w:type="dxa" w:w="640"/>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w:t>
            </w:r>
          </w:p>
        </w:tc>
        <w:tc>
          <w:tcPr>
            <w:tcW w:type="dxa" w:w="2450"/>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Obligation</w:t>
            </w:r>
          </w:p>
        </w:tc>
        <w:tc>
          <w:tcPr>
            <w:tcW w:type="dxa" w:w="2996"/>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Deadline</w:t>
            </w:r>
          </w:p>
        </w:tc>
        <w:tc>
          <w:tcPr>
            <w:tcW w:type="dxa" w:w="2610"/>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Source</w:t>
            </w:r>
          </w:p>
        </w:tc>
        <w:tc>
          <w:tcPr>
            <w:tcW w:type="dxa" w:w="1050"/>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Your date</w:t>
            </w:r>
          </w:p>
        </w:tc>
      </w:tr>
      <w:tr>
        <w:trPr>
          <w:cantSplit/>
        </w:trPr>
        <w:tc>
          <w:tcPr>
            <w:tcW w:type="dxa" w:w="64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1</w:t>
            </w:r>
          </w:p>
        </w:tc>
        <w:tc>
          <w:tcPr>
            <w:tcW w:type="dxa" w:w="245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Appoint a registered energy manager (REM)</w:t>
            </w:r>
          </w:p>
        </w:tc>
        <w:tc>
          <w:tcPr>
            <w:tcW w:type="dxa" w:w="299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Within 3 months of Notice</w:t>
            </w:r>
          </w:p>
        </w:tc>
        <w:tc>
          <w:tcPr>
            <w:tcW w:type="dxa" w:w="261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reg 4(2); s.5(1)</w:t>
            </w:r>
          </w:p>
        </w:tc>
        <w:tc>
          <w:tcPr>
            <w:tcW w:type="dxa" w:w="105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
            </w:r>
          </w:p>
        </w:tc>
      </w:tr>
      <w:tr>
        <w:trPr>
          <w:cantSplit/>
        </w:trPr>
        <w:tc>
          <w:tcPr>
            <w:tcW w:type="dxa" w:w="64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2</w:t>
            </w:r>
          </w:p>
        </w:tc>
        <w:tc>
          <w:tcPr>
            <w:tcW w:type="dxa" w:w="245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Notify the Commission of the appointment (electronic)</w:t>
            </w:r>
          </w:p>
        </w:tc>
        <w:tc>
          <w:tcPr>
            <w:tcW w:type="dxa" w:w="299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On appointment</w:t>
            </w:r>
          </w:p>
        </w:tc>
        <w:tc>
          <w:tcPr>
            <w:tcW w:type="dxa" w:w="261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reg 4(3) / 6(2)</w:t>
            </w:r>
          </w:p>
        </w:tc>
        <w:tc>
          <w:tcPr>
            <w:tcW w:type="dxa" w:w="105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
            </w:r>
          </w:p>
        </w:tc>
      </w:tr>
      <w:tr>
        <w:trPr>
          <w:cantSplit/>
        </w:trPr>
        <w:tc>
          <w:tcPr>
            <w:tcW w:type="dxa" w:w="64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3</w:t>
            </w:r>
          </w:p>
        </w:tc>
        <w:tc>
          <w:tcPr>
            <w:tcW w:type="dxa" w:w="245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Develop the EnMS in accordance with GP46</w:t>
            </w:r>
          </w:p>
        </w:tc>
        <w:tc>
          <w:tcPr>
            <w:tcW w:type="dxa" w:w="299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Within 1 year of Appointment</w:t>
            </w:r>
          </w:p>
        </w:tc>
        <w:tc>
          <w:tcPr>
            <w:tcW w:type="dxa" w:w="261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reg 8; s.6(1)–(2)</w:t>
            </w:r>
          </w:p>
        </w:tc>
        <w:tc>
          <w:tcPr>
            <w:tcW w:type="dxa" w:w="105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
            </w:r>
          </w:p>
        </w:tc>
      </w:tr>
      <w:tr>
        <w:trPr>
          <w:cantSplit/>
        </w:trPr>
        <w:tc>
          <w:tcPr>
            <w:tcW w:type="dxa" w:w="64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4</w:t>
            </w:r>
          </w:p>
        </w:tc>
        <w:tc>
          <w:tcPr>
            <w:tcW w:type="dxa" w:w="245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Submit the first EE&amp;C report (via the Commission’s online system)</w:t>
            </w:r>
          </w:p>
        </w:tc>
        <w:tc>
          <w:tcPr>
            <w:tcW w:type="dxa" w:w="299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Within 30 days after the expiry of 1 year from Appointment</w:t>
            </w:r>
          </w:p>
        </w:tc>
        <w:tc>
          <w:tcPr>
            <w:tcW w:type="dxa" w:w="261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reg 9(a); s.7(2)</w:t>
            </w:r>
          </w:p>
        </w:tc>
        <w:tc>
          <w:tcPr>
            <w:tcW w:type="dxa" w:w="105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
            </w:r>
          </w:p>
        </w:tc>
      </w:tr>
      <w:tr>
        <w:trPr>
          <w:cantSplit/>
        </w:trPr>
        <w:tc>
          <w:tcPr>
            <w:tcW w:type="dxa" w:w="64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5</w:t>
            </w:r>
          </w:p>
        </w:tc>
        <w:tc>
          <w:tcPr>
            <w:tcW w:type="dxa" w:w="245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Subsequent EE&amp;C reports</w:t>
            </w:r>
          </w:p>
        </w:tc>
        <w:tc>
          <w:tcPr>
            <w:tcW w:type="dxa" w:w="299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Annually — within 30 days after each successive anniversary of the Appointment (cycle illustrated in GP45 Figure 1; reg 9(b) quoted verbatim in document C4)</w:t>
            </w:r>
          </w:p>
        </w:tc>
        <w:tc>
          <w:tcPr>
            <w:tcW w:type="dxa" w:w="261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reg 9(b); GP45 para. 3.2 Fig. 1</w:t>
            </w:r>
          </w:p>
        </w:tc>
        <w:tc>
          <w:tcPr>
            <w:tcW w:type="dxa" w:w="105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
            </w:r>
          </w:p>
        </w:tc>
      </w:tr>
      <w:tr>
        <w:trPr>
          <w:cantSplit/>
        </w:trPr>
        <w:tc>
          <w:tcPr>
            <w:tcW w:type="dxa" w:w="64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6</w:t>
            </w:r>
          </w:p>
        </w:tc>
        <w:tc>
          <w:tcPr>
            <w:tcW w:type="dxa" w:w="245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Submit the first energy audit report</w:t>
            </w:r>
          </w:p>
        </w:tc>
        <w:tc>
          <w:tcPr>
            <w:tcW w:type="dxa" w:w="299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Within 1 year of Notice</w:t>
            </w:r>
          </w:p>
        </w:tc>
        <w:tc>
          <w:tcPr>
            <w:tcW w:type="dxa" w:w="261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reg 10(1)(a); s.9(2)</w:t>
            </w:r>
          </w:p>
        </w:tc>
        <w:tc>
          <w:tcPr>
            <w:tcW w:type="dxa" w:w="105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
            </w:r>
          </w:p>
        </w:tc>
      </w:tr>
      <w:tr>
        <w:trPr>
          <w:cantSplit/>
        </w:trPr>
        <w:tc>
          <w:tcPr>
            <w:tcW w:type="dxa" w:w="64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7</w:t>
            </w:r>
          </w:p>
        </w:tc>
        <w:tc>
          <w:tcPr>
            <w:tcW w:type="dxa" w:w="245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Subsequent energy audit reports</w:t>
            </w:r>
          </w:p>
        </w:tc>
        <w:tc>
          <w:tcPr>
            <w:tcW w:type="dxa" w:w="299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On the fifth year, for every five years from the last submission (exemption application: first 3 months of the fifth year)</w:t>
            </w:r>
          </w:p>
        </w:tc>
        <w:tc>
          <w:tcPr>
            <w:tcW w:type="dxa" w:w="261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reg 10(1)(b), 10(2); s.9(3)</w:t>
            </w:r>
          </w:p>
        </w:tc>
        <w:tc>
          <w:tcPr>
            <w:tcW w:type="dxa" w:w="105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
            </w:r>
          </w:p>
        </w:tc>
      </w:tr>
      <w:tr>
        <w:trPr>
          <w:cantSplit/>
        </w:trPr>
        <w:tc>
          <w:tcPr>
            <w:tcW w:type="dxa" w:w="64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8</w:t>
            </w:r>
          </w:p>
        </w:tc>
        <w:tc>
          <w:tcPr>
            <w:tcW w:type="dxa" w:w="245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External REM expiry — appoint an internal REM</w:t>
            </w:r>
          </w:p>
        </w:tc>
        <w:tc>
          <w:tcPr>
            <w:tcW w:type="dxa" w:w="299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External appointments end no later than 3 years from Notice</w:t>
            </w:r>
          </w:p>
        </w:tc>
        <w:tc>
          <w:tcPr>
            <w:tcW w:type="dxa" w:w="261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reg 6(1), 6(4)</w:t>
            </w:r>
          </w:p>
        </w:tc>
        <w:tc>
          <w:tcPr>
            <w:tcW w:type="dxa" w:w="105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
            </w:r>
          </w:p>
        </w:tc>
      </w:tr>
      <w:tr>
        <w:trPr>
          <w:cantSplit/>
        </w:trPr>
        <w:tc>
          <w:tcPr>
            <w:tcW w:type="dxa" w:w="64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9</w:t>
            </w:r>
          </w:p>
        </w:tc>
        <w:tc>
          <w:tcPr>
            <w:tcW w:type="dxa" w:w="245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REM vacancy — notify the Commission; refill internally</w:t>
            </w:r>
          </w:p>
        </w:tc>
        <w:tc>
          <w:tcPr>
            <w:tcW w:type="dxa" w:w="299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14 days to notify; 3 months to refill</w:t>
            </w:r>
          </w:p>
        </w:tc>
        <w:tc>
          <w:tcPr>
            <w:tcW w:type="dxa" w:w="261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reg 7(1)–(2)</w:t>
            </w:r>
          </w:p>
        </w:tc>
        <w:tc>
          <w:tcPr>
            <w:tcW w:type="dxa" w:w="105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
            </w:r>
          </w:p>
        </w:tc>
      </w:tr>
    </w:tbl>
    <w:p>
      <w:pPr>
        <w:spacing w:after="160"/>
        <w:jc w:val="left"/>
      </w:pPr>
      <w:r>
        <w:rPr>
          <w:rFonts w:ascii="Inter" w:cs="Inter" w:eastAsia="Inter" w:hAnsi="Inter"/>
          <w:i/>
          <w:iCs/>
          <w:color w:val="6B7280"/>
          <w:sz w:val="18"/>
          <w:szCs w:val="18"/>
        </w:rPr>
        <w:t xml:space="preserve">Note on row 5: regulation 9(b)’s drafting ("within thirty days after the expiry of one year from the anniversary date of the appointment") reads awkwardly in isolation; the submission-process timeline in Figure 1 of the Guidelines on Energy Efficiency and Conservation Report [GP/ST/No.45/2024, para. 3.2, current revision] illustrates the intended cycle — one year between successive reports, each with a 30-day submission window. Document C4 carries the regulation verbatim alongside this reading.</w:t>
      </w:r>
    </w:p>
    <w:p>
      <w:pPr>
        <w:spacing w:after="140" w:line="300"/>
        <w:jc w:val="both"/>
      </w:pPr>
      <w:r>
        <w:rPr>
          <w:rFonts w:ascii="Inter" w:cs="Inter" w:eastAsia="Inter" w:hAnsi="Inter"/>
          <w:b/>
          <w:bCs/>
          <w:color w:val="111827"/>
          <w:sz w:val="20"/>
          <w:szCs w:val="20"/>
        </w:rPr>
        <w:t xml:space="preserve">Read the cascade together: </w:t>
      </w:r>
      <w:r>
        <w:rPr>
          <w:rFonts w:ascii="Inter" w:cs="Inter" w:eastAsia="Inter" w:hAnsi="Inter"/>
          <w:color w:val="1F2937"/>
          <w:sz w:val="20"/>
          <w:szCs w:val="20"/>
        </w:rPr>
        <w:t xml:space="preserve">the first EE&amp;C report falls due in the same month the EnMS itself must be complete — and that report must describe the EnMS (s.7(1)(a)). An organisation that leaves the EnMS to month eleven has nothing to report. Working backwards, the Committee, policy, data collection and baseline need to exist by roughly month six after appointment.</w:t>
      </w:r>
    </w:p>
    <w:p>
      <w:r>
        <w:br w:type="page"/>
      </w:r>
    </w:p>
    <w:p>
      <w:pPr>
        <w:keepNext/>
        <w:keepLines/>
        <w:pBdr>
          <w:bottom w:val="single" w:color="38B0F8" w:sz="12" w:space="4"/>
        </w:pBdr>
        <w:tabs>
          <w:tab w:val="left" w:pos="460"/>
        </w:tabs>
        <w:spacing w:after="180" w:before="320"/>
        <w:ind w:left="460" w:hanging="460"/>
      </w:pPr>
      <w:r>
        <w:rPr>
          <w:rFonts w:ascii="Poppins" w:cs="Poppins" w:eastAsia="Poppins" w:hAnsi="Poppins"/>
          <w:b/>
          <w:bCs/>
          <w:color w:val="38B0F8"/>
          <w:sz w:val="30"/>
          <w:szCs w:val="30"/>
        </w:rPr>
        <w:t xml:space="preserve">4</w:t>
      </w:r>
      <w:r>
        <w:rPr>
          <w:rFonts w:ascii="Poppins" w:cs="Poppins" w:eastAsia="Poppins" w:hAnsi="Poppins"/>
          <w:sz w:val="30"/>
          <w:szCs w:val="30"/>
        </w:rPr>
        <w:tab/>
      </w:r>
      <w:r>
        <w:rPr>
          <w:rFonts w:ascii="Poppins" w:cs="Poppins" w:eastAsia="Poppins" w:hAnsi="Poppins"/>
          <w:b/>
          <w:bCs/>
          <w:color w:val="111827"/>
          <w:sz w:val="30"/>
          <w:szCs w:val="30"/>
        </w:rPr>
        <w:t xml:space="preserve">The documents in this pack</w:t>
      </w:r>
    </w:p>
    <w:tbl>
      <w:tblPr>
        <w:tblW w:type="dxa" w:w="9746"/>
        <w:tblBorders>
          <w:top w:val="single" w:color="E5E7EB" w:sz="4"/>
          <w:left w:val="single" w:color="E5E7EB" w:sz="4"/>
          <w:bottom w:val="single" w:color="E5E7EB" w:sz="4"/>
          <w:right w:val="single" w:color="E5E7EB" w:sz="4"/>
          <w:insideH w:val="single" w:color="E5E7EB" w:sz="4"/>
          <w:insideV w:val="single" w:color="E5E7EB" w:sz="4"/>
        </w:tblBorders>
      </w:tblPr>
      <w:tblGrid>
        <w:gridCol w:w="782"/>
        <w:gridCol w:w="3438"/>
        <w:gridCol w:w="5526"/>
      </w:tblGrid>
      <w:tr>
        <w:trPr>
          <w:cantSplit/>
          <w:tblHeader/>
        </w:trPr>
        <w:tc>
          <w:tcPr>
            <w:tcW w:type="dxa" w:w="782"/>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Code</w:t>
            </w:r>
          </w:p>
        </w:tc>
        <w:tc>
          <w:tcPr>
            <w:tcW w:type="dxa" w:w="3438"/>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Document</w:t>
            </w:r>
          </w:p>
        </w:tc>
        <w:tc>
          <w:tcPr>
            <w:tcW w:type="dxa" w:w="5526"/>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Use it to</w:t>
            </w:r>
          </w:p>
        </w:tc>
      </w:tr>
      <w:tr>
        <w:trPr>
          <w:cantSplit/>
        </w:trPr>
        <w:tc>
          <w:tcPr>
            <w:tcW w:type="dxa" w:w="782"/>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C0</w:t>
            </w:r>
          </w:p>
        </w:tc>
        <w:tc>
          <w:tcPr>
            <w:tcW w:type="dxa" w:w="3438"/>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Pack Guide &amp; Compliance Clock</w:t>
            </w:r>
          </w:p>
        </w:tc>
        <w:tc>
          <w:tcPr>
            <w:tcW w:type="dxa" w:w="552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Orient the team; diarise the statutory deadlines</w:t>
            </w:r>
          </w:p>
        </w:tc>
      </w:tr>
      <w:tr>
        <w:trPr>
          <w:cantSplit/>
        </w:trPr>
        <w:tc>
          <w:tcPr>
            <w:tcW w:type="dxa" w:w="782"/>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C1</w:t>
            </w:r>
          </w:p>
        </w:tc>
        <w:tc>
          <w:tcPr>
            <w:tcW w:type="dxa" w:w="3438"/>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EECA EnMS Gap Assessment Checklist</w:t>
            </w:r>
          </w:p>
        </w:tc>
        <w:tc>
          <w:tcPr>
            <w:tcW w:type="dxa" w:w="552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Score your current position (Yes / Partial / No) against every GP46 element and statutory duty; get a readiness band</w:t>
            </w:r>
          </w:p>
        </w:tc>
      </w:tr>
      <w:tr>
        <w:trPr>
          <w:cantSplit/>
        </w:trPr>
        <w:tc>
          <w:tcPr>
            <w:tcW w:type="dxa" w:w="782"/>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C2</w:t>
            </w:r>
          </w:p>
        </w:tc>
        <w:tc>
          <w:tcPr>
            <w:tcW w:type="dxa" w:w="3438"/>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Energy Management Policy Template</w:t>
            </w:r>
          </w:p>
        </w:tc>
        <w:tc>
          <w:tcPr>
            <w:tcW w:type="dxa" w:w="552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Draft the policy with the four GP46-mandatory commitments built in</w:t>
            </w:r>
          </w:p>
        </w:tc>
      </w:tr>
      <w:tr>
        <w:trPr>
          <w:cantSplit/>
        </w:trPr>
        <w:tc>
          <w:tcPr>
            <w:tcW w:type="dxa" w:w="782"/>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C3</w:t>
            </w:r>
          </w:p>
        </w:tc>
        <w:tc>
          <w:tcPr>
            <w:tcW w:type="dxa" w:w="3438"/>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Committee &amp; Governance Kit</w:t>
            </w:r>
          </w:p>
        </w:tc>
        <w:tc>
          <w:tcPr>
            <w:tcW w:type="dxa" w:w="552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Appoint the management representative; constitute the Committee; run and minute the meetings and the annual management review</w:t>
            </w:r>
          </w:p>
        </w:tc>
      </w:tr>
      <w:tr>
        <w:trPr>
          <w:cantSplit/>
        </w:trPr>
        <w:tc>
          <w:tcPr>
            <w:tcW w:type="dxa" w:w="782"/>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C4</w:t>
            </w:r>
          </w:p>
        </w:tc>
        <w:tc>
          <w:tcPr>
            <w:tcW w:type="dxa" w:w="3438"/>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Legal &amp; Obligations Register</w:t>
            </w:r>
          </w:p>
        </w:tc>
        <w:tc>
          <w:tcPr>
            <w:tcW w:type="dxa" w:w="552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Hold every Act 861 / EECR duty with citation, deadline, penalty, owner and status — the legal-compliance evaluation GP46 para. 8.2(g) expects</w:t>
            </w:r>
          </w:p>
        </w:tc>
      </w:tr>
      <w:tr>
        <w:trPr>
          <w:cantSplit/>
        </w:trPr>
        <w:tc>
          <w:tcPr>
            <w:tcW w:type="dxa" w:w="782"/>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C5</w:t>
            </w:r>
          </w:p>
        </w:tc>
        <w:tc>
          <w:tcPr>
            <w:tcW w:type="dxa" w:w="3438"/>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REM Appointment Checklist</w:t>
            </w:r>
          </w:p>
        </w:tc>
        <w:tc>
          <w:tcPr>
            <w:tcW w:type="dxa" w:w="552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Choose internal vs external appointment; respect the tiering and the caps; manage the three-year window</w:t>
            </w:r>
          </w:p>
        </w:tc>
      </w:tr>
      <w:tr>
        <w:trPr>
          <w:cantSplit/>
        </w:trPr>
        <w:tc>
          <w:tcPr>
            <w:tcW w:type="dxa" w:w="782"/>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C6</w:t>
            </w:r>
          </w:p>
        </w:tc>
        <w:tc>
          <w:tcPr>
            <w:tcW w:type="dxa" w:w="3438"/>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EnPI / EEI Worksheet (sector-selectable)</w:t>
            </w:r>
          </w:p>
        </w:tc>
        <w:tc>
          <w:tcPr>
            <w:tcW w:type="dxa" w:w="552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Establish the baseline and indicator — SEC path for industry, BEI path for buildings</w:t>
            </w:r>
          </w:p>
        </w:tc>
      </w:tr>
      <w:tr>
        <w:trPr>
          <w:cantSplit/>
        </w:trPr>
        <w:tc>
          <w:tcPr>
            <w:tcW w:type="dxa" w:w="782"/>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C7</w:t>
            </w:r>
          </w:p>
        </w:tc>
        <w:tc>
          <w:tcPr>
            <w:tcW w:type="dxa" w:w="3438"/>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Energy Data Collection Plan + 12-Month Consumption Tracker (xlsx)</w:t>
            </w:r>
          </w:p>
        </w:tc>
        <w:tc>
          <w:tcPr>
            <w:tcW w:type="dxa" w:w="552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Plan and record the twelve months of consumption, generation and variable data GP46 requires</w:t>
            </w:r>
          </w:p>
        </w:tc>
      </w:tr>
      <w:tr>
        <w:trPr>
          <w:cantSplit/>
        </w:trPr>
        <w:tc>
          <w:tcPr>
            <w:tcW w:type="dxa" w:w="782"/>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C8</w:t>
            </w:r>
          </w:p>
        </w:tc>
        <w:tc>
          <w:tcPr>
            <w:tcW w:type="dxa" w:w="3438"/>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Action Plan &amp; ESM Register (docx + xlsx)</w:t>
            </w:r>
          </w:p>
        </w:tc>
        <w:tc>
          <w:tcPr>
            <w:tcW w:type="dxa" w:w="552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Turn audit findings into a prioritised, costed, owned action plan with M&amp;V per ESM</w:t>
            </w:r>
          </w:p>
        </w:tc>
      </w:tr>
      <w:tr>
        <w:trPr>
          <w:cantSplit/>
        </w:trPr>
        <w:tc>
          <w:tcPr>
            <w:tcW w:type="dxa" w:w="782"/>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C9</w:t>
            </w:r>
          </w:p>
        </w:tc>
        <w:tc>
          <w:tcPr>
            <w:tcW w:type="dxa" w:w="3438"/>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Communication, Awareness &amp; Training Plan</w:t>
            </w:r>
          </w:p>
        </w:tc>
        <w:tc>
          <w:tcPr>
            <w:tcW w:type="dxa" w:w="552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Discharge GP46 para. 7.7–7.9 — communication matrix, motivation strategy, training programme</w:t>
            </w:r>
          </w:p>
        </w:tc>
      </w:tr>
      <w:tr>
        <w:trPr>
          <w:cantSplit/>
        </w:trPr>
        <w:tc>
          <w:tcPr>
            <w:tcW w:type="dxa" w:w="782"/>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C10</w:t>
            </w:r>
          </w:p>
        </w:tc>
        <w:tc>
          <w:tcPr>
            <w:tcW w:type="dxa" w:w="3438"/>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EnMS Self-Evaluation Matrix (xlsx)</w:t>
            </w:r>
          </w:p>
        </w:tc>
        <w:tc>
          <w:tcPr>
            <w:tcW w:type="dxa" w:w="552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Run the GP46 para. 5.2.3(a) maturity self-evaluation at Committee formation and periodically after</w:t>
            </w:r>
          </w:p>
        </w:tc>
      </w:tr>
      <w:tr>
        <w:trPr>
          <w:cantSplit/>
        </w:trPr>
        <w:tc>
          <w:tcPr>
            <w:tcW w:type="dxa" w:w="782"/>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C11</w:t>
            </w:r>
          </w:p>
        </w:tc>
        <w:tc>
          <w:tcPr>
            <w:tcW w:type="dxa" w:w="3438"/>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Work Procedure &amp; Log Sheet Starters</w:t>
            </w:r>
          </w:p>
        </w:tc>
        <w:tc>
          <w:tcPr>
            <w:tcW w:type="dxa" w:w="552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Seed the operational controls — chiller plant and lighting examples to adapt</w:t>
            </w:r>
          </w:p>
        </w:tc>
      </w:tr>
      <w:tr>
        <w:trPr>
          <w:cantSplit/>
        </w:trPr>
        <w:tc>
          <w:tcPr>
            <w:tcW w:type="dxa" w:w="782"/>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C12</w:t>
            </w:r>
          </w:p>
        </w:tc>
        <w:tc>
          <w:tcPr>
            <w:tcW w:type="dxa" w:w="3438"/>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EE&amp;C Report Skeleton</w:t>
            </w:r>
          </w:p>
        </w:tc>
        <w:tc>
          <w:tcPr>
            <w:tcW w:type="dxa" w:w="552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Assemble the annual report content in the GP45 structure before entering it in the Commission’s online system</w:t>
            </w:r>
          </w:p>
        </w:tc>
      </w:tr>
    </w:tbl>
    <w:p>
      <w:r>
        <w:br w:type="page"/>
      </w:r>
    </w:p>
    <w:p>
      <w:pPr>
        <w:keepNext/>
        <w:keepLines/>
        <w:pBdr>
          <w:bottom w:val="single" w:color="38B0F8" w:sz="12" w:space="4"/>
        </w:pBdr>
        <w:tabs>
          <w:tab w:val="left" w:pos="460"/>
        </w:tabs>
        <w:spacing w:after="180" w:before="320"/>
        <w:ind w:left="460" w:hanging="460"/>
      </w:pPr>
      <w:r>
        <w:rPr>
          <w:rFonts w:ascii="Poppins" w:cs="Poppins" w:eastAsia="Poppins" w:hAnsi="Poppins"/>
          <w:b/>
          <w:bCs/>
          <w:color w:val="38B0F8"/>
          <w:sz w:val="30"/>
          <w:szCs w:val="30"/>
        </w:rPr>
        <w:t xml:space="preserve">5</w:t>
      </w:r>
      <w:r>
        <w:rPr>
          <w:rFonts w:ascii="Poppins" w:cs="Poppins" w:eastAsia="Poppins" w:hAnsi="Poppins"/>
          <w:sz w:val="30"/>
          <w:szCs w:val="30"/>
        </w:rPr>
        <w:tab/>
      </w:r>
      <w:r>
        <w:rPr>
          <w:rFonts w:ascii="Poppins" w:cs="Poppins" w:eastAsia="Poppins" w:hAnsi="Poppins"/>
          <w:b/>
          <w:bCs/>
          <w:color w:val="111827"/>
          <w:sz w:val="30"/>
          <w:szCs w:val="30"/>
        </w:rPr>
        <w:t xml:space="preserve">Suggested sequence</w:t>
      </w:r>
    </w:p>
    <w:p>
      <w:pPr>
        <w:spacing w:after="140" w:line="300"/>
        <w:jc w:val="both"/>
      </w:pPr>
      <w:r>
        <w:rPr>
          <w:rFonts w:ascii="Inter" w:cs="Inter" w:eastAsia="Inter" w:hAnsi="Inter"/>
          <w:color w:val="1F2937"/>
          <w:sz w:val="20"/>
          <w:szCs w:val="20"/>
        </w:rPr>
        <w:t xml:space="preserve">A workable order of attack for a first-cycle EnMS, assuming the REM is appointed at month zero:</w:t>
      </w:r>
    </w:p>
    <w:tbl>
      <w:tblPr>
        <w:tblW w:type="dxa" w:w="9746"/>
        <w:tblBorders>
          <w:top w:val="single" w:color="E5E7EB" w:sz="4"/>
          <w:left w:val="single" w:color="E5E7EB" w:sz="4"/>
          <w:bottom w:val="single" w:color="E5E7EB" w:sz="4"/>
          <w:right w:val="single" w:color="E5E7EB" w:sz="4"/>
          <w:insideH w:val="single" w:color="E5E7EB" w:sz="4"/>
          <w:insideV w:val="single" w:color="E5E7EB" w:sz="4"/>
        </w:tblBorders>
      </w:tblPr>
      <w:tblGrid>
        <w:gridCol w:w="999"/>
        <w:gridCol w:w="6824"/>
        <w:gridCol w:w="1923"/>
      </w:tblGrid>
      <w:tr>
        <w:trPr>
          <w:cantSplit/>
          <w:tblHeader/>
        </w:trPr>
        <w:tc>
          <w:tcPr>
            <w:tcW w:type="dxa" w:w="999"/>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Months</w:t>
            </w:r>
          </w:p>
        </w:tc>
        <w:tc>
          <w:tcPr>
            <w:tcW w:type="dxa" w:w="6824"/>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Do</w:t>
            </w:r>
          </w:p>
        </w:tc>
        <w:tc>
          <w:tcPr>
            <w:tcW w:type="dxa" w:w="1923"/>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Documents</w:t>
            </w:r>
          </w:p>
        </w:tc>
      </w:tr>
      <w:tr>
        <w:trPr>
          <w:cantSplit/>
        </w:trPr>
        <w:tc>
          <w:tcPr>
            <w:tcW w:type="dxa" w:w="999"/>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0–1</w:t>
            </w:r>
          </w:p>
        </w:tc>
        <w:tc>
          <w:tcPr>
            <w:tcW w:type="dxa" w:w="6824"/>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Score the Gap Assessment Checklist; appoint the management representative; constitute the Committee; run the first self-evaluation matrix</w:t>
            </w:r>
          </w:p>
        </w:tc>
        <w:tc>
          <w:tcPr>
            <w:tcW w:type="dxa" w:w="1923"/>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C1 · C3 · C10</w:t>
            </w:r>
          </w:p>
        </w:tc>
      </w:tr>
      <w:tr>
        <w:trPr>
          <w:cantSplit/>
        </w:trPr>
        <w:tc>
          <w:tcPr>
            <w:tcW w:type="dxa" w:w="999"/>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1–2</w:t>
            </w:r>
          </w:p>
        </w:tc>
        <w:tc>
          <w:tcPr>
            <w:tcW w:type="dxa" w:w="6824"/>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Adopt and display the energy policy; open the obligations register; diarise all deadlines</w:t>
            </w:r>
          </w:p>
        </w:tc>
        <w:tc>
          <w:tcPr>
            <w:tcW w:type="dxa" w:w="1923"/>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C2 · C4 · C0</w:t>
            </w:r>
          </w:p>
        </w:tc>
      </w:tr>
      <w:tr>
        <w:trPr>
          <w:cantSplit/>
        </w:trPr>
        <w:tc>
          <w:tcPr>
            <w:tcW w:type="dxa" w:w="999"/>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2–5</w:t>
            </w:r>
          </w:p>
        </w:tc>
        <w:tc>
          <w:tcPr>
            <w:tcW w:type="dxa" w:w="6824"/>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Stand up the data collection plan; assemble twelve months of bills; define boundary and SEUs; establish the baseline and EnPI</w:t>
            </w:r>
          </w:p>
        </w:tc>
        <w:tc>
          <w:tcPr>
            <w:tcW w:type="dxa" w:w="1923"/>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C7 · C6</w:t>
            </w:r>
          </w:p>
        </w:tc>
      </w:tr>
      <w:tr>
        <w:trPr>
          <w:cantSplit/>
        </w:trPr>
        <w:tc>
          <w:tcPr>
            <w:tcW w:type="dxa" w:w="999"/>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4–7</w:t>
            </w:r>
          </w:p>
        </w:tc>
        <w:tc>
          <w:tcPr>
            <w:tcW w:type="dxa" w:w="6824"/>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Build the action plan from audit findings and the gap review; assign owners and budgets; start quick-win ESMs with M&amp;V plans</w:t>
            </w:r>
          </w:p>
        </w:tc>
        <w:tc>
          <w:tcPr>
            <w:tcW w:type="dxa" w:w="1923"/>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C8 · C11</w:t>
            </w:r>
          </w:p>
        </w:tc>
      </w:tr>
      <w:tr>
        <w:trPr>
          <w:cantSplit/>
        </w:trPr>
        <w:tc>
          <w:tcPr>
            <w:tcW w:type="dxa" w:w="999"/>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6–10</w:t>
            </w:r>
          </w:p>
        </w:tc>
        <w:tc>
          <w:tcPr>
            <w:tcW w:type="dxa" w:w="6824"/>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Run the communication, awareness and training programme; implement operational controls; track ESM progress</w:t>
            </w:r>
          </w:p>
        </w:tc>
        <w:tc>
          <w:tcPr>
            <w:tcW w:type="dxa" w:w="1923"/>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C9 · C11 · C8</w:t>
            </w:r>
          </w:p>
        </w:tc>
      </w:tr>
      <w:tr>
        <w:trPr>
          <w:cantSplit/>
        </w:trPr>
        <w:tc>
          <w:tcPr>
            <w:tcW w:type="dxa" w:w="999"/>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10–12</w:t>
            </w:r>
          </w:p>
        </w:tc>
        <w:tc>
          <w:tcPr>
            <w:tcW w:type="dxa" w:w="6824"/>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Internal review; re-score the checklist and matrix; hold the management review; prepare the EE&amp;C report data pack</w:t>
            </w:r>
          </w:p>
        </w:tc>
        <w:tc>
          <w:tcPr>
            <w:tcW w:type="dxa" w:w="1923"/>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C10 · C1 · C3 · C12</w:t>
            </w:r>
          </w:p>
        </w:tc>
      </w:tr>
    </w:tbl>
    <w:p>
      <w:pPr>
        <w:keepNext/>
        <w:keepLines/>
        <w:pBdr>
          <w:bottom w:val="single" w:color="38B0F8" w:sz="12" w:space="4"/>
        </w:pBdr>
        <w:tabs>
          <w:tab w:val="left" w:pos="460"/>
        </w:tabs>
        <w:spacing w:after="180" w:before="320"/>
        <w:ind w:left="460" w:hanging="460"/>
      </w:pPr>
      <w:r>
        <w:rPr>
          <w:rFonts w:ascii="Poppins" w:cs="Poppins" w:eastAsia="Poppins" w:hAnsi="Poppins"/>
          <w:b/>
          <w:bCs/>
          <w:color w:val="38B0F8"/>
          <w:sz w:val="30"/>
          <w:szCs w:val="30"/>
        </w:rPr>
        <w:t xml:space="preserve">6</w:t>
      </w:r>
      <w:r>
        <w:rPr>
          <w:rFonts w:ascii="Poppins" w:cs="Poppins" w:eastAsia="Poppins" w:hAnsi="Poppins"/>
          <w:sz w:val="30"/>
          <w:szCs w:val="30"/>
        </w:rPr>
        <w:tab/>
      </w:r>
      <w:r>
        <w:rPr>
          <w:rFonts w:ascii="Poppins" w:cs="Poppins" w:eastAsia="Poppins" w:hAnsi="Poppins"/>
          <w:b/>
          <w:bCs/>
          <w:color w:val="111827"/>
          <w:sz w:val="30"/>
          <w:szCs w:val="30"/>
        </w:rPr>
        <w:t xml:space="preserve">What this pack is — and is not</w:t>
      </w:r>
    </w:p>
    <w:p>
      <w:pPr>
        <w:pStyle w:val="ListParagraph"/>
        <w:numPr>
          <w:ilvl w:val="0"/>
          <w:numId w:val="2"/>
        </w:numPr>
        <w:spacing w:after="90" w:line="290"/>
        <w:jc w:val="both"/>
      </w:pPr>
      <w:r>
        <w:rPr>
          <w:rFonts w:ascii="Inter" w:cs="Inter" w:eastAsia="Inter" w:hAnsi="Inter"/>
          <w:color w:val="1F2937"/>
          <w:sz w:val="20"/>
          <w:szCs w:val="20"/>
        </w:rPr>
        <w:t xml:space="preserve">It is a working document set, drafted in the language of the Malaysian regime, for adaptation by your Committee and REM.</w:t>
      </w:r>
    </w:p>
    <w:p>
      <w:pPr>
        <w:pStyle w:val="ListParagraph"/>
        <w:numPr>
          <w:ilvl w:val="0"/>
          <w:numId w:val="2"/>
        </w:numPr>
        <w:spacing w:after="90" w:line="290"/>
        <w:jc w:val="both"/>
      </w:pPr>
      <w:r>
        <w:rPr>
          <w:rFonts w:ascii="Inter" w:cs="Inter" w:eastAsia="Inter" w:hAnsi="Inter"/>
          <w:color w:val="1F2937"/>
          <w:sz w:val="20"/>
          <w:szCs w:val="20"/>
        </w:rPr>
        <w:t xml:space="preserve">It is structured in alignment with ISO 50001 and international best-practice frameworks including the US DOE 50001 Ready programme, adapted to the requirements of Act 861 and GP/ST/No.46/2024. It does not reproduce ISO standard text and implies no endorsement by any foreign programme.</w:t>
      </w:r>
    </w:p>
    <w:p>
      <w:pPr>
        <w:pStyle w:val="ListParagraph"/>
        <w:numPr>
          <w:ilvl w:val="0"/>
          <w:numId w:val="2"/>
        </w:numPr>
        <w:spacing w:after="90" w:line="290"/>
        <w:jc w:val="both"/>
      </w:pPr>
      <w:r>
        <w:rPr>
          <w:rFonts w:ascii="Inter" w:cs="Inter" w:eastAsia="Inter" w:hAnsi="Inter"/>
          <w:color w:val="1F2937"/>
          <w:sz w:val="20"/>
          <w:szCs w:val="20"/>
        </w:rPr>
        <w:t xml:space="preserve">It is not legal advice, and not a substitute for the guidelines themselves — the Commission’s current published guidelines prevail over this pack in every case of doubt.</w:t>
      </w:r>
    </w:p>
    <w:p>
      <w:pPr>
        <w:keepNext/>
        <w:keepLines/>
        <w:pBdr>
          <w:bottom w:val="single" w:color="38B0F8" w:sz="12" w:space="4"/>
        </w:pBdr>
        <w:tabs>
          <w:tab w:val="left" w:pos="460"/>
        </w:tabs>
        <w:spacing w:after="180" w:before="320"/>
        <w:ind w:left="460" w:hanging="460"/>
      </w:pPr>
      <w:r>
        <w:rPr>
          <w:rFonts w:ascii="Poppins" w:cs="Poppins" w:eastAsia="Poppins" w:hAnsi="Poppins"/>
          <w:b/>
          <w:bCs/>
          <w:color w:val="38B0F8"/>
          <w:sz w:val="30"/>
          <w:szCs w:val="30"/>
        </w:rPr>
        <w:t xml:space="preserve">7</w:t>
      </w:r>
      <w:r>
        <w:rPr>
          <w:rFonts w:ascii="Poppins" w:cs="Poppins" w:eastAsia="Poppins" w:hAnsi="Poppins"/>
          <w:sz w:val="30"/>
          <w:szCs w:val="30"/>
        </w:rPr>
        <w:tab/>
      </w:r>
      <w:r>
        <w:rPr>
          <w:rFonts w:ascii="Poppins" w:cs="Poppins" w:eastAsia="Poppins" w:hAnsi="Poppins"/>
          <w:b/>
          <w:bCs/>
          <w:color w:val="111827"/>
          <w:sz w:val="30"/>
          <w:szCs w:val="30"/>
        </w:rPr>
        <w:t xml:space="preserve">When you want this handled — or automated</w:t>
      </w:r>
    </w:p>
    <w:p>
      <w:pPr>
        <w:spacing w:after="140" w:line="300"/>
        <w:jc w:val="both"/>
      </w:pPr>
      <w:r>
        <w:rPr>
          <w:rFonts w:ascii="Inter" w:cs="Inter" w:eastAsia="Inter" w:hAnsi="Inter"/>
          <w:color w:val="1F2937"/>
          <w:sz w:val="20"/>
          <w:szCs w:val="20"/>
        </w:rPr>
        <w:t xml:space="preserve">Innovast Sdn Bhd is a licensed ESCO registered with Suruhanjaya Tenaga. We build and operate EnMS programmes for designated consumers end to end: gap assessment, Committee and policy setup, baseline and EnPI development, action plans with IPMVP-grade M&amp;V, EE&amp;C report preparation, and REM provision within the regulation 6 framework.</w:t>
      </w:r>
    </w:p>
    <w:tbl>
      <w:tblPr>
        <w:tblW w:type="dxa" w:w="9746"/>
        <w:tblBorders>
          <w:top w:val="single" w:color="E5E7EB" w:sz="4"/>
          <w:left w:val="single" w:color="00BF63" w:sz="24"/>
          <w:bottom w:val="single" w:color="E5E7EB" w:sz="4"/>
          <w:right w:val="single" w:color="E5E7EB" w:sz="4"/>
          <w:insideH w:val="none"/>
          <w:insideV w:val="none"/>
        </w:tblBorders>
      </w:tblPr>
      <w:tblGrid>
        <w:gridCol w:w="9746"/>
      </w:tblGrid>
      <w:tr>
        <w:trPr>
          <w:cantSplit/>
        </w:trPr>
        <w:tc>
          <w:tcPr>
            <w:tcW w:type="dxa" w:w="9746"/>
            <w:shd w:fill="F9FAFB" w:val="clear"/>
            <w:tcMar>
              <w:top w:type="dxa" w:w="140"/>
              <w:left w:type="dxa" w:w="200"/>
              <w:bottom w:type="dxa" w:w="140"/>
              <w:right w:type="dxa" w:w="200"/>
            </w:tcMar>
          </w:tcPr>
          <w:p>
            <w:pPr>
              <w:spacing w:after="0" w:line="280"/>
              <w:jc w:val="both"/>
            </w:pPr>
            <w:r>
              <w:rPr>
                <w:rFonts w:ascii="Inter" w:cs="Inter" w:eastAsia="Inter" w:hAnsi="Inter"/>
                <w:b/>
                <w:bCs/>
                <w:color w:val="111827"/>
                <w:sz w:val="20"/>
                <w:szCs w:val="20"/>
              </w:rPr>
              <w:t xml:space="preserve">InnoSense — the EnMS that maintains itself. </w:t>
            </w:r>
            <w:r>
              <w:rPr>
                <w:rFonts w:ascii="Inter" w:cs="Inter" w:eastAsia="Inter" w:hAnsi="Inter"/>
                <w:color w:val="1F2937"/>
                <w:sz w:val="20"/>
                <w:szCs w:val="20"/>
              </w:rPr>
              <w:t xml:space="preserve">Our energy management platform tracks consumption against your baseline, watches the EnMS cycle, and keeps the evidence trail the EE&amp;C report needs — year round, automatically. Register interest at </w:t>
            </w:r>
            <w:r>
              <w:rPr>
                <w:rFonts w:ascii="Inter" w:cs="Inter" w:eastAsia="Inter" w:hAnsi="Inter"/>
                <w:b/>
                <w:bCs/>
                <w:color w:val="1273AD"/>
                <w:sz w:val="20"/>
                <w:szCs w:val="20"/>
              </w:rPr>
              <w:t xml:space="preserve">eeca2024.my</w:t>
            </w:r>
            <w:r>
              <w:rPr>
                <w:rFonts w:ascii="Inter" w:cs="Inter" w:eastAsia="Inter" w:hAnsi="Inter"/>
                <w:color w:val="1F2937"/>
                <w:sz w:val="20"/>
                <w:szCs w:val="20"/>
              </w:rPr>
              <w:t xml:space="preserve"> or write to </w:t>
            </w:r>
            <w:r>
              <w:rPr>
                <w:rFonts w:ascii="Inter" w:cs="Inter" w:eastAsia="Inter" w:hAnsi="Inter"/>
                <w:b/>
                <w:bCs/>
                <w:color w:val="1273AD"/>
                <w:sz w:val="20"/>
                <w:szCs w:val="20"/>
              </w:rPr>
              <w:t xml:space="preserve">anslem@innovast.asia</w:t>
            </w:r>
            <w:r>
              <w:rPr>
                <w:rFonts w:ascii="Inter" w:cs="Inter" w:eastAsia="Inter" w:hAnsi="Inter"/>
                <w:color w:val="1F2937"/>
                <w:sz w:val="20"/>
                <w:szCs w:val="20"/>
              </w:rPr>
              <w:t xml:space="preserve">.</w:t>
            </w:r>
          </w:p>
        </w:tc>
      </w:tr>
    </w:tbl>
    <w:p>
      <w:r>
        <w:br w:type="page"/>
      </w:r>
    </w:p>
    <w:p>
      <w:pPr>
        <w:keepNext/>
        <w:keepLines/>
        <w:pBdr>
          <w:bottom w:val="single" w:color="38B0F8" w:sz="12" w:space="4"/>
        </w:pBdr>
        <w:tabs>
          <w:tab w:val="left" w:pos="460"/>
        </w:tabs>
        <w:spacing w:after="180" w:before="320"/>
      </w:pPr>
      <w:r>
        <w:rPr>
          <w:rFonts w:ascii="Poppins" w:cs="Poppins" w:eastAsia="Poppins" w:hAnsi="Poppins"/>
          <w:b/>
          <w:bCs/>
          <w:color w:val="111827"/>
          <w:sz w:val="30"/>
          <w:szCs w:val="30"/>
        </w:rPr>
        <w:t xml:space="preserve">The complete Starter Pack</w:t>
      </w:r>
    </w:p>
    <w:p>
      <w:pPr>
        <w:spacing w:after="140" w:line="300"/>
        <w:jc w:val="both"/>
      </w:pPr>
      <w:r>
        <w:rPr>
          <w:rFonts w:ascii="Inter" w:cs="Inter" w:eastAsia="Inter" w:hAnsi="Inter"/>
          <w:color w:val="1F2937"/>
          <w:sz w:val="20"/>
          <w:szCs w:val="20"/>
        </w:rPr>
        <w:t xml:space="preserve">This document is one of thirteen working documents in the EECA 2024 EnMS Starter Pack — together they stand up an energy management system that follows GP/ST/No.46/2024 and the statutory duties of Act 861.</w:t>
      </w:r>
    </w:p>
    <w:tbl>
      <w:tblPr>
        <w:tblW w:type="dxa" w:w="9746"/>
        <w:tblBorders>
          <w:top w:val="single" w:color="E5E7EB" w:sz="4"/>
          <w:left w:val="single" w:color="E5E7EB" w:sz="4"/>
          <w:bottom w:val="single" w:color="E5E7EB" w:sz="4"/>
          <w:right w:val="single" w:color="E5E7EB" w:sz="4"/>
          <w:insideH w:val="single" w:color="E5E7EB" w:sz="4"/>
          <w:insideV w:val="single" w:color="E5E7EB" w:sz="4"/>
        </w:tblBorders>
      </w:tblPr>
      <w:tblGrid>
        <w:gridCol w:w="700"/>
        <w:gridCol w:w="3300"/>
        <w:gridCol w:w="5746"/>
      </w:tblGrid>
      <w:tr>
        <w:trPr>
          <w:cantSplit/>
          <w:tblHeader/>
        </w:trPr>
        <w:tc>
          <w:tcPr>
            <w:tcW w:type="dxa" w:w="700"/>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Code</w:t>
            </w:r>
          </w:p>
        </w:tc>
        <w:tc>
          <w:tcPr>
            <w:tcW w:type="dxa" w:w="3300"/>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Document</w:t>
            </w:r>
          </w:p>
        </w:tc>
        <w:tc>
          <w:tcPr>
            <w:tcW w:type="dxa" w:w="5746"/>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Use it to</w:t>
            </w:r>
          </w:p>
        </w:tc>
      </w:tr>
      <w:tr>
        <w:trPr>
          <w:cantSplit/>
        </w:trPr>
        <w:tc>
          <w:tcPr>
            <w:tcW w:type="dxa" w:w="700"/>
            <w:shd w:fill="EAF6FE" w:val="clear"/>
            <w:tcMar>
              <w:top w:type="dxa" w:w="70"/>
              <w:left w:type="dxa" w:w="100"/>
              <w:bottom w:type="dxa" w:w="70"/>
              <w:right w:type="dxa" w:w="100"/>
            </w:tcMar>
            <w:vAlign w:val="top"/>
          </w:tcPr>
          <w:p>
            <w:pPr>
              <w:spacing w:after="0" w:line="260"/>
            </w:pPr>
            <w:r>
              <w:rPr>
                <w:rFonts w:ascii="Inter" w:cs="Inter" w:eastAsia="Inter" w:hAnsi="Inter"/>
                <w:b/>
                <w:bCs/>
                <w:color w:val="1273AD"/>
                <w:sz w:val="18"/>
                <w:szCs w:val="18"/>
              </w:rPr>
              <w:t xml:space="preserve">C0</w:t>
            </w:r>
          </w:p>
        </w:tc>
        <w:tc>
          <w:tcPr>
            <w:tcW w:type="dxa" w:w="3300"/>
            <w:shd w:fill="EAF6FE" w:val="clear"/>
            <w:tcMar>
              <w:top w:type="dxa" w:w="70"/>
              <w:left w:type="dxa" w:w="100"/>
              <w:bottom w:type="dxa" w:w="70"/>
              <w:right w:type="dxa" w:w="100"/>
            </w:tcMar>
            <w:vAlign w:val="top"/>
          </w:tcPr>
          <w:p>
            <w:pPr>
              <w:spacing w:after="0" w:line="260"/>
            </w:pPr>
            <w:r>
              <w:rPr>
                <w:rFonts w:ascii="Inter" w:cs="Inter" w:eastAsia="Inter" w:hAnsi="Inter"/>
                <w:b/>
                <w:bCs/>
                <w:color w:val="1F2937"/>
                <w:sz w:val="18"/>
                <w:szCs w:val="18"/>
              </w:rPr>
              <w:t xml:space="preserve">Pack Guide &amp; Compliance Clock</w:t>
            </w:r>
          </w:p>
        </w:tc>
        <w:tc>
          <w:tcPr>
            <w:tcW w:type="dxa" w:w="5746"/>
            <w:shd w:fill="EAF6FE" w:val="clear"/>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Orient the team; diarise the statutory deadlines  </w:t>
            </w:r>
            <w:r>
              <w:rPr>
                <w:rFonts w:ascii="Inter" w:cs="Inter" w:eastAsia="Inter" w:hAnsi="Inter"/>
                <w:b/>
                <w:bCs/>
                <w:color w:val="1273AD"/>
                <w:sz w:val="16"/>
                <w:szCs w:val="16"/>
              </w:rPr>
              <w:t xml:space="preserve">(this document)</w:t>
            </w:r>
          </w:p>
        </w:tc>
      </w:tr>
      <w:tr>
        <w:trPr>
          <w:cantSplit/>
        </w:trPr>
        <w:tc>
          <w:tcPr>
            <w:tcW w:type="dxa" w:w="7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C1</w:t>
            </w:r>
          </w:p>
        </w:tc>
        <w:tc>
          <w:tcPr>
            <w:tcW w:type="dxa" w:w="33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EECA EnMS Gap Assessment Checklist</w:t>
            </w:r>
          </w:p>
        </w:tc>
        <w:tc>
          <w:tcPr>
            <w:tcW w:type="dxa" w:w="574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Score your current position (Yes / Partial / No) against every GP46 element and statutory duty; get a readiness band</w:t>
            </w:r>
          </w:p>
        </w:tc>
      </w:tr>
      <w:tr>
        <w:trPr>
          <w:cantSplit/>
        </w:trPr>
        <w:tc>
          <w:tcPr>
            <w:tcW w:type="dxa" w:w="7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C2</w:t>
            </w:r>
          </w:p>
        </w:tc>
        <w:tc>
          <w:tcPr>
            <w:tcW w:type="dxa" w:w="33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Energy Management Policy Template</w:t>
            </w:r>
          </w:p>
        </w:tc>
        <w:tc>
          <w:tcPr>
            <w:tcW w:type="dxa" w:w="574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Draft the policy with the four GP46-mandatory commitments built in</w:t>
            </w:r>
          </w:p>
        </w:tc>
      </w:tr>
      <w:tr>
        <w:trPr>
          <w:cantSplit/>
        </w:trPr>
        <w:tc>
          <w:tcPr>
            <w:tcW w:type="dxa" w:w="7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C3</w:t>
            </w:r>
          </w:p>
        </w:tc>
        <w:tc>
          <w:tcPr>
            <w:tcW w:type="dxa" w:w="33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Committee &amp; Governance Kit</w:t>
            </w:r>
          </w:p>
        </w:tc>
        <w:tc>
          <w:tcPr>
            <w:tcW w:type="dxa" w:w="574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Appoint the management representative; constitute the Committee; run and minute the meetings and the annual management review</w:t>
            </w:r>
          </w:p>
        </w:tc>
      </w:tr>
      <w:tr>
        <w:trPr>
          <w:cantSplit/>
        </w:trPr>
        <w:tc>
          <w:tcPr>
            <w:tcW w:type="dxa" w:w="7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C4</w:t>
            </w:r>
          </w:p>
        </w:tc>
        <w:tc>
          <w:tcPr>
            <w:tcW w:type="dxa" w:w="33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Legal &amp; Obligations Register</w:t>
            </w:r>
          </w:p>
        </w:tc>
        <w:tc>
          <w:tcPr>
            <w:tcW w:type="dxa" w:w="574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Hold every Act 861 / EECR duty with citation, deadline, penalty, owner and status — the legal-compliance evaluation GP46 para. 8.2(g) expects</w:t>
            </w:r>
          </w:p>
        </w:tc>
      </w:tr>
      <w:tr>
        <w:trPr>
          <w:cantSplit/>
        </w:trPr>
        <w:tc>
          <w:tcPr>
            <w:tcW w:type="dxa" w:w="7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C5</w:t>
            </w:r>
          </w:p>
        </w:tc>
        <w:tc>
          <w:tcPr>
            <w:tcW w:type="dxa" w:w="33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REM Appointment Checklist</w:t>
            </w:r>
          </w:p>
        </w:tc>
        <w:tc>
          <w:tcPr>
            <w:tcW w:type="dxa" w:w="574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Choose internal vs external appointment; respect the tiering and the caps; manage the three-year window</w:t>
            </w:r>
          </w:p>
        </w:tc>
      </w:tr>
      <w:tr>
        <w:trPr>
          <w:cantSplit/>
        </w:trPr>
        <w:tc>
          <w:tcPr>
            <w:tcW w:type="dxa" w:w="7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C6</w:t>
            </w:r>
          </w:p>
        </w:tc>
        <w:tc>
          <w:tcPr>
            <w:tcW w:type="dxa" w:w="33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EnPI / EEI Worksheet (sector-selectable)</w:t>
            </w:r>
          </w:p>
        </w:tc>
        <w:tc>
          <w:tcPr>
            <w:tcW w:type="dxa" w:w="574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Establish the baseline and indicator — SEC path for industry, BEI path for buildings</w:t>
            </w:r>
          </w:p>
        </w:tc>
      </w:tr>
      <w:tr>
        <w:trPr>
          <w:cantSplit/>
        </w:trPr>
        <w:tc>
          <w:tcPr>
            <w:tcW w:type="dxa" w:w="7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C7</w:t>
            </w:r>
          </w:p>
        </w:tc>
        <w:tc>
          <w:tcPr>
            <w:tcW w:type="dxa" w:w="33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Energy Data Collection Plan + 12-Month Consumption Tracker (xlsx)</w:t>
            </w:r>
          </w:p>
        </w:tc>
        <w:tc>
          <w:tcPr>
            <w:tcW w:type="dxa" w:w="574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Plan and record the twelve months of consumption, generation and variable data GP46 requires</w:t>
            </w:r>
          </w:p>
        </w:tc>
      </w:tr>
      <w:tr>
        <w:trPr>
          <w:cantSplit/>
        </w:trPr>
        <w:tc>
          <w:tcPr>
            <w:tcW w:type="dxa" w:w="7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C8</w:t>
            </w:r>
          </w:p>
        </w:tc>
        <w:tc>
          <w:tcPr>
            <w:tcW w:type="dxa" w:w="33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Action Plan &amp; ESM Register (docx + xlsx)</w:t>
            </w:r>
          </w:p>
        </w:tc>
        <w:tc>
          <w:tcPr>
            <w:tcW w:type="dxa" w:w="574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Turn audit findings into a prioritised, costed, owned action plan with M&amp;V per ESM</w:t>
            </w:r>
          </w:p>
        </w:tc>
      </w:tr>
      <w:tr>
        <w:trPr>
          <w:cantSplit/>
        </w:trPr>
        <w:tc>
          <w:tcPr>
            <w:tcW w:type="dxa" w:w="7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C9</w:t>
            </w:r>
          </w:p>
        </w:tc>
        <w:tc>
          <w:tcPr>
            <w:tcW w:type="dxa" w:w="33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Communication, Awareness &amp; Training Plan</w:t>
            </w:r>
          </w:p>
        </w:tc>
        <w:tc>
          <w:tcPr>
            <w:tcW w:type="dxa" w:w="574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Discharge GP46 para. 7.7–7.9 — communication matrix, motivation strategy, training programme</w:t>
            </w:r>
          </w:p>
        </w:tc>
      </w:tr>
      <w:tr>
        <w:trPr>
          <w:cantSplit/>
        </w:trPr>
        <w:tc>
          <w:tcPr>
            <w:tcW w:type="dxa" w:w="7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C10</w:t>
            </w:r>
          </w:p>
        </w:tc>
        <w:tc>
          <w:tcPr>
            <w:tcW w:type="dxa" w:w="33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EnMS Self-Evaluation Matrix (xlsx)</w:t>
            </w:r>
          </w:p>
        </w:tc>
        <w:tc>
          <w:tcPr>
            <w:tcW w:type="dxa" w:w="574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Run the GP46 para. 5.2.3(a) maturity self-evaluation at Committee formation and periodically after</w:t>
            </w:r>
          </w:p>
        </w:tc>
      </w:tr>
      <w:tr>
        <w:trPr>
          <w:cantSplit/>
        </w:trPr>
        <w:tc>
          <w:tcPr>
            <w:tcW w:type="dxa" w:w="7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C11</w:t>
            </w:r>
          </w:p>
        </w:tc>
        <w:tc>
          <w:tcPr>
            <w:tcW w:type="dxa" w:w="33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Work Procedure &amp; Log Sheet Starters</w:t>
            </w:r>
          </w:p>
        </w:tc>
        <w:tc>
          <w:tcPr>
            <w:tcW w:type="dxa" w:w="574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Seed the operational controls — chiller plant and lighting examples to adapt</w:t>
            </w:r>
          </w:p>
        </w:tc>
      </w:tr>
      <w:tr>
        <w:trPr>
          <w:cantSplit/>
        </w:trPr>
        <w:tc>
          <w:tcPr>
            <w:tcW w:type="dxa" w:w="7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C12</w:t>
            </w:r>
          </w:p>
        </w:tc>
        <w:tc>
          <w:tcPr>
            <w:tcW w:type="dxa" w:w="33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EE&amp;C Report Skeleton</w:t>
            </w:r>
          </w:p>
        </w:tc>
        <w:tc>
          <w:tcPr>
            <w:tcW w:type="dxa" w:w="574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Assemble the annual report content in the GP45 structure before entering it in the Commission’s online system</w:t>
            </w:r>
          </w:p>
        </w:tc>
      </w:tr>
    </w:tbl>
    <w:p>
      <w:pPr>
        <w:spacing w:after="0" w:before="160"/>
        <w:jc w:val="left"/>
      </w:pPr>
      <w:r>
        <w:rPr>
          <w:rFonts w:ascii="Inter" w:cs="Inter" w:eastAsia="Inter" w:hAnsi="Inter"/>
          <w:b/>
          <w:bCs/>
          <w:color w:val="1F2937"/>
          <w:sz w:val="20"/>
          <w:szCs w:val="20"/>
        </w:rPr>
        <w:t xml:space="preserve">Get the complete pack, free:  </w:t>
      </w:r>
      <w:r>
        <w:rPr>
          <w:rFonts w:ascii="Inter" w:cs="Inter" w:eastAsia="Inter" w:hAnsi="Inter"/>
          <w:b/>
          <w:bCs/>
          <w:color w:val="1273AD"/>
          <w:sz w:val="20"/>
          <w:szCs w:val="20"/>
        </w:rPr>
        <w:t xml:space="preserve">eeca2024.my/enms-pack</w:t>
      </w:r>
      <w:r>
        <w:rPr>
          <w:rFonts w:ascii="Inter" w:cs="Inter" w:eastAsia="Inter" w:hAnsi="Inter"/>
          <w:color w:val="4B5563"/>
          <w:sz w:val="19"/>
          <w:szCs w:val="19"/>
        </w:rPr>
        <w:t xml:space="preserve">   ·   anslem@innovast.asia   ·   +60 12 355 6214</w:t>
      </w:r>
    </w:p>
    <w:sectPr>
      <w:headerReference w:type="default" r:id="rId7"/>
      <w:headerReference w:type="first" r:id="rId8"/>
      <w:footerReference w:type="default" r:id="rId9"/>
      <w:footerReference w:type="first" r:id="rId10"/>
      <w:pgSz w:w="11906" w:h="16838" w:orient="portrait"/>
      <w:pgMar w:top="1080" w:right="1080" w:bottom="1080" w:left="1080"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oppins">
    <w:charset w:val="00"/>
    <w:family w:val="swiss"/>
    <w:pitch w:val="variable"/>
    <w:embedRegular r:id="rIdFont1" w:fontKey="{93824AC1-9873-4189-819C-359722C8948B}"/>
    <w:embedBold r:id="rIdFont2" w:fontKey="{46929F16-B662-4729-8178-EEB4025347A4}"/>
  </w:font>
  <w:font w:name="Inter">
    <w:charset w:val="00"/>
    <w:family w:val="swiss"/>
    <w:pitch w:val="variable"/>
    <w:embedRegular r:id="rIdFont3" w:fontKey="{BD75D362-9E8A-40FA-A9E8-B51B1C1AF91C}"/>
    <w:embedBold r:id="rIdFont4" w:fontKey="{FBE9C910-6D6E-408E-AF10-A94C95AD1694}"/>
    <w:embedItalic r:id="rIdFont5" w:fontKey="{BADD24FD-73CF-4B9B-BA54-F54730534A2A}"/>
    <w:embedBoldItalic r:id="rIdFont6" w:fontKey="{EFC783EB-BF7B-4BB1-8A7E-D758A4E468D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5E7EB" w:sz="4" w:space="3"/>
      </w:pBdr>
      <w:tabs>
        <w:tab w:val="right" w:pos="9746"/>
      </w:tabs>
      <w:spacing w:after="20"/>
    </w:pPr>
    <w:r>
      <w:rPr>
        <w:rFonts w:ascii="Inter" w:cs="Inter" w:eastAsia="Inter" w:hAnsi="Inter"/>
        <w:color w:val="6B7280"/>
        <w:sz w:val="15"/>
        <w:szCs w:val="15"/>
      </w:rPr>
      <w:t xml:space="preserve">INV-ENMS-C0 · Rev 1.0 · Draft for adaptation</w:t>
    </w:r>
    <w:r>
      <w:rPr>
        <w:rFonts w:ascii="Inter" w:cs="Inter" w:eastAsia="Inter" w:hAnsi="Inter"/>
        <w:sz w:val="15"/>
        <w:szCs w:val="15"/>
      </w:rPr>
      <w:t xml:space="preserve">	</w:t>
    </w:r>
    <w:r>
      <w:rPr>
        <w:rFonts w:ascii="Inter" w:cs="Inter" w:eastAsia="Inter" w:hAnsi="Inter"/>
        <w:color w:val="6B7280"/>
        <w:sz w:val="15"/>
        <w:szCs w:val="15"/>
      </w:rPr>
      <w:t xml:space="preserve">Page </w:t>
    </w:r>
    <w:r>
      <w:rPr>
        <w:rFonts w:ascii="Inter" w:cs="Inter" w:eastAsia="Inter" w:hAnsi="Inter"/>
        <w:color w:val="6B7280"/>
        <w:sz w:val="15"/>
        <w:szCs w:val="15"/>
      </w:rPr>
      <w:fldChar w:fldCharType="begin"/>
      <w:instrText xml:space="preserve">PAGE</w:instrText>
      <w:fldChar w:fldCharType="separate"/>
      <w:fldChar w:fldCharType="end"/>
    </w:r>
    <w:r>
      <w:rPr>
        <w:rFonts w:ascii="Inter" w:cs="Inter" w:eastAsia="Inter" w:hAnsi="Inter"/>
        <w:color w:val="6B7280"/>
        <w:sz w:val="15"/>
        <w:szCs w:val="15"/>
      </w:rPr>
      <w:t xml:space="preserve"> of </w:t>
    </w:r>
    <w:r>
      <w:rPr>
        <w:rFonts w:ascii="Inter" w:cs="Inter" w:eastAsia="Inter" w:hAnsi="Inter"/>
        <w:color w:val="6B7280"/>
        <w:sz w:val="15"/>
        <w:szCs w:val="15"/>
      </w:rPr>
      <w:fldChar w:fldCharType="begin"/>
      <w:instrText xml:space="preserve">NUMPAGES</w:instrText>
      <w:fldChar w:fldCharType="separate"/>
      <w:fldChar w:fldCharType="end"/>
    </w:r>
  </w:p>
  <w:p>
    <w:pPr>
      <w:jc w:val="center"/>
    </w:pPr>
    <w:r>
      <w:rPr>
        <w:rFonts w:ascii="Inter" w:cs="Inter" w:eastAsia="Inter" w:hAnsi="Inter"/>
        <w:color w:val="6B7280"/>
        <w:sz w:val="15"/>
        <w:szCs w:val="15"/>
      </w:rPr>
      <w:t xml:space="preserve">Innovast Sdn Bhd · Licensed ESCO · Registered with Suruhanjaya Tenaga (Energy Commission Malaysia)</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5E7EB" w:sz="4" w:space="6"/>
      </w:pBdr>
      <w:spacing w:after="40"/>
    </w:pPr>
    <w:r>
      <w:rPr>
        <w:rFonts w:ascii="Poppins" w:cs="Poppins" w:eastAsia="Poppins" w:hAnsi="Poppins"/>
        <w:b/>
        <w:bCs/>
        <w:color w:val="111827"/>
        <w:sz w:val="21"/>
        <w:szCs w:val="21"/>
      </w:rPr>
      <w:t xml:space="preserve">Innovast Sdn Bhd</w:t>
    </w:r>
  </w:p>
  <w:p>
    <w:pPr>
      <w:spacing w:after="20"/>
    </w:pPr>
    <w:r>
      <w:rPr>
        <w:rFonts w:ascii="Inter" w:cs="Inter" w:eastAsia="Inter" w:hAnsi="Inter"/>
        <w:color w:val="4B5563"/>
        <w:sz w:val="18"/>
        <w:szCs w:val="18"/>
      </w:rPr>
      <w:t xml:space="preserve">Licensed Energy Service Company (ESCO) · ESCO Reg. No. ESCO 327(2023)/76/2024</w:t>
    </w:r>
  </w:p>
  <w:p>
    <w:pPr>
      <w:spacing w:after="20"/>
    </w:pPr>
    <w:r>
      <w:rPr>
        <w:rFonts w:ascii="Inter" w:cs="Inter" w:eastAsia="Inter" w:hAnsi="Inter"/>
        <w:color w:val="4B5563"/>
        <w:sz w:val="18"/>
        <w:szCs w:val="18"/>
      </w:rPr>
      <w:t xml:space="preserve">Company Reg. No. 202201012221 (1457918-M) · Registered with Suruhanjaya Tenaga · SEDA Recognised</w:t>
    </w:r>
  </w:p>
  <w:p>
    <w:pPr>
      <w:spacing w:after="0"/>
    </w:pPr>
    <w:r>
      <w:rPr>
        <w:rFonts w:ascii="Inter" w:cs="Inter" w:eastAsia="Inter" w:hAnsi="Inter"/>
        <w:color w:val="1273AD"/>
        <w:sz w:val="18"/>
        <w:szCs w:val="18"/>
      </w:rPr>
      <w:t xml:space="preserve">www.innovast.asia · anslem@innovast.asia · +60 12 355 6214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E5E7EB" w:sz="4" w:space="3"/>
      </w:pBdr>
      <w:tabs>
        <w:tab w:val="right" w:pos="9746"/>
      </w:tabs>
    </w:pPr>
    <w:r>
      <w:drawing>
        <wp:inline distT="0" distB="0" distL="0" distR="0">
          <wp:extent cx="85725" cy="1524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85725" cy="152400"/>
                  </a:xfrm>
                  <a:prstGeom prst="rect">
                    <a:avLst/>
                  </a:prstGeom>
                </pic:spPr>
              </pic:pic>
            </a:graphicData>
          </a:graphic>
        </wp:inline>
      </w:drawing>
    </w:r>
    <w:r>
      <w:rPr>
        <w:rFonts w:ascii="Poppins" w:cs="Poppins" w:eastAsia="Poppins" w:hAnsi="Poppins"/>
        <w:b/>
        <w:bCs/>
        <w:color w:val="6B7280"/>
        <w:sz w:val="16"/>
        <w:szCs w:val="16"/>
      </w:rPr>
      <w:t xml:space="preserve">  EECA 2024 EnMS Starter Pack</w:t>
    </w:r>
    <w:r>
      <w:rPr>
        <w:rFonts w:ascii="Inter" w:cs="Inter" w:eastAsia="Inter" w:hAnsi="Inter"/>
        <w:color w:val="6B7280"/>
        <w:sz w:val="16"/>
        <w:szCs w:val="16"/>
      </w:rPr>
      <w:t xml:space="preserve">	C0 · Pack Guide &amp; Compliance Clock</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00"/>
      </w:pPr>
    </w:lvl>
    <w:lvl w:ilvl="1" w15:tentative="1">
      <w:start w:val="1"/>
      <w:numFmt w:val="bullet"/>
      <w:lvlText w:val="·"/>
      <w:lvlJc w:val="left"/>
      <w:pPr>
        <w:ind w:left="700" w:hanging="200"/>
      </w:pPr>
    </w:lvl>
  </w:abstractNum>
  <w:abstractNum w:abstractNumId="3" w15:restartNumberingAfterBreak="0">
    <w:multiLevelType w:val="hybridMultilevel"/>
    <w:lvl w:ilvl="0" w15:tentative="1">
      <w:start w:val="1"/>
      <w:numFmt w:val="decimal"/>
      <w:lvlText w:val="%1."/>
      <w:lvlJc w:val="left"/>
      <w:pPr>
        <w:ind w:left="40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mbedTrueTypeFonts/>
  <w:saveSubsetFonts/>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nter" w:cs="Inter" w:eastAsia="Inter" w:hAnsi="Inter"/>
        <w:color w:val="1F2937"/>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image" Target="media/6a3225be243d0684e64ffa8d8cda75a3f659697e.png"/><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 standalone="yes"?><Relationships xmlns="http://schemas.openxmlformats.org/package/2006/relationships"><Relationship Id="rIdFont1" Type="http://schemas.openxmlformats.org/officeDocument/2006/relationships/font" Target="fonts/font1.odttf"/><Relationship Id="rIdFont2" Type="http://schemas.openxmlformats.org/officeDocument/2006/relationships/font" Target="fonts/font2.odttf"/><Relationship Id="rIdFont3" Type="http://schemas.openxmlformats.org/officeDocument/2006/relationships/font" Target="fonts/font3.odttf"/><Relationship Id="rIdFont4" Type="http://schemas.openxmlformats.org/officeDocument/2006/relationships/font" Target="fonts/font4.odttf"/><Relationship Id="rIdFont5" Type="http://schemas.openxmlformats.org/officeDocument/2006/relationships/font" Target="fonts/font5.odttf"/><Relationship Id="rIdFont6" Type="http://schemas.openxmlformats.org/officeDocument/2006/relationships/font" Target="fonts/font6.odttf"/></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bf7d3d510dd56c0f342def237bd02c91681dac2a.png"/></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C0 · Pack Guide &amp; Compliance Clock — EECA 2024 EnMS Starter Pack</dc:title>
  <dc:subject>EECA 2024 EnMS Starter Pack — draft EnMS documentation for Malaysian designated energy consumers (GP/ST/No.46/2024; Act 861; P.U.(A) 466/2024)</dc:subject>
  <dc:creator>Anslem Lim</dc:creator>
  <cp:keywords>EECA 2024, Act 861, EnMS, GP/ST/No.46/2024, energy management, Innovast, Suruhanjaya Tenaga</cp:keywords>
  <dc:description>Prepared by Innovast Sdn Bhd, Licensed ESCO (ESCO 327(2023)/76/2024). Draft for adaptation — adapt to your organisation before use; not regulatory advice.</dc:description>
  <cp:lastModifiedBy>Innovast Sdn Bhd</cp:lastModifiedBy>
  <cp:revision>1</cp:revision>
  <dcterms:created xsi:type="dcterms:W3CDTF">2026-07-29T04:16:46.899Z</dcterms:created>
  <dcterms:modified xsi:type="dcterms:W3CDTF">2026-07-29T04:16:46.899Z</dcterms:modified>
</cp:coreProperties>
</file>

<file path=docProps/custom.xml><?xml version="1.0" encoding="utf-8"?>
<Properties xmlns="http://schemas.openxmlformats.org/officeDocument/2006/custom-properties" xmlns:vt="http://schemas.openxmlformats.org/officeDocument/2006/docPropsVTypes"/>
</file>